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9AB" w:rsidRPr="00BF295F" w:rsidRDefault="006659AB" w:rsidP="0005234B">
      <w:pPr>
        <w:spacing w:after="0" w:line="240" w:lineRule="auto"/>
        <w:jc w:val="both"/>
      </w:pPr>
    </w:p>
    <w:p w:rsidR="007A02F7" w:rsidRPr="00BF295F" w:rsidRDefault="00200393" w:rsidP="0005234B">
      <w:pPr>
        <w:pStyle w:val="bold"/>
        <w:spacing w:line="240" w:lineRule="auto"/>
        <w:jc w:val="both"/>
        <w:rPr>
          <w:rFonts w:asciiTheme="minorHAnsi" w:hAnsiTheme="minorHAnsi" w:cs="Tahoma"/>
          <w:color w:val="auto"/>
          <w:spacing w:val="0"/>
          <w:sz w:val="22"/>
          <w:szCs w:val="22"/>
        </w:rPr>
      </w:pPr>
      <w:r>
        <w:rPr>
          <w:rFonts w:asciiTheme="minorHAnsi" w:hAnsiTheme="minorHAnsi"/>
          <w:noProof/>
          <w:sz w:val="22"/>
          <w:szCs w:val="22"/>
        </w:rPr>
        <w:pict w14:anchorId="70F5E07B">
          <v:shapetype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uWPbMCAAC5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" o:allowoverlap="f" filled="f" stroked="f">
            <v:textbox>
              <w:txbxContent>
                <w:p w:rsidR="0005234B" w:rsidRPr="001478BB" w:rsidRDefault="0005234B" w:rsidP="007A02F7">
                  <w:pPr>
                    <w:rPr>
                      <w:rFonts w:ascii="Myriad Bold" w:hAnsi="Myriad Bold"/>
                      <w:sz w:val="20"/>
                    </w:rPr>
                  </w:pPr>
                  <w:r w:rsidRPr="001478BB">
                    <w:rPr>
                      <w:rFonts w:ascii="Myriad Bold" w:hAnsi="Myriad Bold"/>
                      <w:sz w:val="20"/>
                    </w:rPr>
                    <w:t>United Nations Development Programme</w:t>
                  </w:r>
                </w:p>
              </w:txbxContent>
            </v:textbox>
            <w10:wrap anchory="page"/>
          </v:shape>
        </w:pict>
      </w:r>
      <w:r>
        <w:rPr>
          <w:rFonts w:asciiTheme="minorHAnsi" w:hAnsiTheme="minorHAnsi"/>
          <w:noProof/>
          <w:sz w:val="22"/>
          <w:szCs w:val="22"/>
        </w:rPr>
        <w:pict w14:anchorId="210E9E29">
          <v:shape id="Text Box 3" o:spid="_x0000_s1027" type="#_x0000_t202" style="position:absolute;left:0;text-align:left;margin-left:427.05pt;margin-top:.2pt;width:62.95pt;height:10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" filled="f" stroked="f">
            <v:textbox>
              <w:txbxContent>
                <w:p w:rsidR="0005234B" w:rsidRDefault="0005234B" w:rsidP="007A02F7">
                  <w:r>
                    <w:rPr>
                      <w:noProof/>
                      <w:lang w:val="es-ES" w:eastAsia="es-ES"/>
                    </w:rPr>
                    <w:drawing>
                      <wp:inline distT="0" distB="0" distL="0" distR="0">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w: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spacing w:after="0" w:line="240" w:lineRule="auto"/>
        <w:jc w:val="both"/>
        <w:rPr>
          <w:rFonts w:cs="Tahoma"/>
        </w:rPr>
      </w:pPr>
    </w:p>
    <w:p w:rsidR="007A02F7" w:rsidRPr="00BF295F" w:rsidRDefault="007A02F7" w:rsidP="0005234B">
      <w:pPr>
        <w:spacing w:after="0" w:line="240" w:lineRule="auto"/>
        <w:jc w:val="both"/>
        <w:rPr>
          <w:rFonts w:cs="Tahoma"/>
          <w:b/>
        </w:rPr>
      </w:pPr>
      <w:r w:rsidRPr="00BF295F">
        <w:rPr>
          <w:rFonts w:cs="Tahoma"/>
          <w:b/>
        </w:rPr>
        <w:t xml:space="preserve">EXAMPLE TERMS OF REFERENCE – </w:t>
      </w:r>
      <w:r w:rsidR="00D235AB">
        <w:rPr>
          <w:rFonts w:cs="Tahoma"/>
          <w:b/>
        </w:rPr>
        <w:t>MID-TERM REVIEW OF CAPACITY DEVELOPMENT PLAN</w:t>
      </w:r>
    </w:p>
    <w:p w:rsidR="007A02F7" w:rsidRPr="00BF295F" w:rsidRDefault="007A02F7" w:rsidP="0005234B">
      <w:pPr>
        <w:spacing w:after="0" w:line="240" w:lineRule="auto"/>
        <w:jc w:val="both"/>
        <w:rPr>
          <w:rFonts w:cs="Tahoma"/>
          <w:b/>
          <w:color w:val="FF0000"/>
        </w:rPr>
      </w:pPr>
    </w:p>
    <w:p w:rsidR="007A02F7" w:rsidRPr="00BF295F" w:rsidRDefault="007A02F7" w:rsidP="0005234B">
      <w:pPr>
        <w:spacing w:after="0" w:line="240" w:lineRule="auto"/>
        <w:jc w:val="both"/>
        <w:rPr>
          <w:rFonts w:cs="Tahoma"/>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69"/>
        <w:gridCol w:w="5667"/>
      </w:tblGrid>
      <w:tr w:rsidR="007A02F7" w:rsidRPr="00BF295F" w:rsidTr="009B738C">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Job Title:</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9B738C">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Duty Station:</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9B738C">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Type of Contract: </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9B738C">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Application Deadline: </w:t>
            </w:r>
          </w:p>
        </w:tc>
        <w:tc>
          <w:tcPr>
            <w:tcW w:w="5622" w:type="dxa"/>
            <w:vAlign w:val="center"/>
          </w:tcPr>
          <w:p w:rsidR="007A02F7" w:rsidRPr="00BF295F" w:rsidRDefault="007A02F7" w:rsidP="0005234B">
            <w:pPr>
              <w:spacing w:after="0" w:line="240" w:lineRule="auto"/>
              <w:jc w:val="both"/>
              <w:rPr>
                <w:rFonts w:cs="Tahoma"/>
              </w:rPr>
            </w:pPr>
          </w:p>
        </w:tc>
      </w:tr>
    </w:tbl>
    <w:p w:rsidR="007A02F7" w:rsidRPr="00BF295F" w:rsidRDefault="007A02F7" w:rsidP="0005234B">
      <w:pPr>
        <w:spacing w:after="0" w:line="24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00"/>
        <w:gridCol w:w="1141"/>
        <w:gridCol w:w="340"/>
        <w:gridCol w:w="1142"/>
        <w:gridCol w:w="340"/>
        <w:gridCol w:w="1248"/>
        <w:gridCol w:w="340"/>
        <w:gridCol w:w="1482"/>
        <w:gridCol w:w="303"/>
      </w:tblGrid>
      <w:tr w:rsidR="007A02F7" w:rsidRPr="00BF295F" w:rsidTr="007A02F7">
        <w:trPr>
          <w:tblCellSpacing w:w="15" w:type="dxa"/>
        </w:trPr>
        <w:tc>
          <w:tcPr>
            <w:tcW w:w="2890" w:type="dxa"/>
            <w:vAlign w:val="center"/>
          </w:tcPr>
          <w:p w:rsidR="007A02F7" w:rsidRPr="00BF295F" w:rsidRDefault="007A02F7" w:rsidP="0005234B">
            <w:pPr>
              <w:spacing w:after="0" w:line="240" w:lineRule="auto"/>
              <w:jc w:val="both"/>
              <w:rPr>
                <w:rFonts w:cs="Tahoma"/>
                <w:b/>
                <w:bCs/>
              </w:rPr>
            </w:pPr>
            <w:r w:rsidRPr="00BF295F">
              <w:rPr>
                <w:rFonts w:cs="Tahoma"/>
                <w:b/>
                <w:bCs/>
              </w:rPr>
              <w:t>Languages Required:</w:t>
            </w: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Arabic</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English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23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French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50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Russian</w:t>
            </w:r>
          </w:p>
        </w:tc>
        <w:tc>
          <w:tcPr>
            <w:tcW w:w="274" w:type="dxa"/>
            <w:vAlign w:val="center"/>
          </w:tcPr>
          <w:p w:rsidR="007A02F7" w:rsidRPr="00BF295F" w:rsidRDefault="007A02F7" w:rsidP="0005234B">
            <w:pPr>
              <w:spacing w:after="0" w:line="240" w:lineRule="auto"/>
              <w:jc w:val="both"/>
              <w:rPr>
                <w:rStyle w:val="CommentReference"/>
                <w:rFonts w:cstheme="minorHAnsi"/>
                <w:sz w:val="22"/>
                <w:szCs w:val="22"/>
              </w:rPr>
            </w:pPr>
          </w:p>
        </w:tc>
      </w:tr>
      <w:tr w:rsidR="007A02F7" w:rsidRPr="00BF295F" w:rsidTr="007A02F7">
        <w:trPr>
          <w:tblCellSpacing w:w="15" w:type="dxa"/>
        </w:trPr>
        <w:tc>
          <w:tcPr>
            <w:tcW w:w="2890" w:type="dxa"/>
            <w:vAlign w:val="center"/>
          </w:tcPr>
          <w:p w:rsidR="007A02F7" w:rsidRPr="00BF295F" w:rsidRDefault="007A02F7" w:rsidP="0005234B">
            <w:pPr>
              <w:spacing w:after="0" w:line="240" w:lineRule="auto"/>
              <w:jc w:val="both"/>
              <w:rPr>
                <w:rFonts w:cs="Tahoma"/>
                <w:b/>
                <w:bCs/>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Spanish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Chinese</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23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Portuguese</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50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Other…..</w:t>
            </w:r>
          </w:p>
        </w:tc>
        <w:tc>
          <w:tcPr>
            <w:tcW w:w="274" w:type="dxa"/>
            <w:vAlign w:val="center"/>
          </w:tcPr>
          <w:p w:rsidR="007A02F7" w:rsidRPr="00BF295F" w:rsidRDefault="007A02F7" w:rsidP="0005234B">
            <w:pPr>
              <w:spacing w:after="0" w:line="240" w:lineRule="auto"/>
              <w:jc w:val="both"/>
              <w:rPr>
                <w:rStyle w:val="CommentReference"/>
                <w:rFonts w:cstheme="minorHAnsi"/>
                <w:sz w:val="22"/>
                <w:szCs w:val="22"/>
              </w:rPr>
            </w:pPr>
          </w:p>
        </w:tc>
      </w:tr>
    </w:tbl>
    <w:p w:rsidR="007A02F7" w:rsidRPr="00BF295F" w:rsidRDefault="007A02F7" w:rsidP="0005234B">
      <w:pPr>
        <w:spacing w:after="0" w:line="240" w:lineRule="auto"/>
        <w:jc w:val="both"/>
        <w:rPr>
          <w:rFonts w:cs="Tahoma"/>
        </w:rPr>
      </w:pPr>
    </w:p>
    <w:tbl>
      <w:tblPr>
        <w:tblW w:w="91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562"/>
      </w:tblGrid>
      <w:tr w:rsidR="007A02F7" w:rsidRPr="00BF295F" w:rsidTr="00BF295F">
        <w:trPr>
          <w:tblCellSpacing w:w="15" w:type="dxa"/>
        </w:trPr>
        <w:tc>
          <w:tcPr>
            <w:tcW w:w="3520"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Starting Date : </w:t>
            </w:r>
          </w:p>
        </w:tc>
        <w:tc>
          <w:tcPr>
            <w:tcW w:w="5517" w:type="dxa"/>
            <w:vAlign w:val="center"/>
          </w:tcPr>
          <w:p w:rsidR="007A02F7" w:rsidRPr="00BF295F" w:rsidRDefault="007A02F7" w:rsidP="0005234B">
            <w:pPr>
              <w:spacing w:after="0" w:line="240" w:lineRule="auto"/>
              <w:jc w:val="both"/>
              <w:rPr>
                <w:rFonts w:cs="Tahoma"/>
              </w:rPr>
            </w:pPr>
          </w:p>
        </w:tc>
      </w:tr>
      <w:tr w:rsidR="007A02F7" w:rsidRPr="00BF295F" w:rsidTr="00BF295F">
        <w:trPr>
          <w:tblCellSpacing w:w="15" w:type="dxa"/>
        </w:trPr>
        <w:tc>
          <w:tcPr>
            <w:tcW w:w="3520" w:type="dxa"/>
            <w:vAlign w:val="center"/>
          </w:tcPr>
          <w:p w:rsidR="007A02F7" w:rsidRPr="00BF295F" w:rsidRDefault="007A02F7" w:rsidP="0005234B">
            <w:pPr>
              <w:spacing w:after="0" w:line="240" w:lineRule="auto"/>
              <w:jc w:val="both"/>
              <w:rPr>
                <w:rFonts w:cs="Tahoma"/>
                <w:b/>
                <w:bCs/>
              </w:rPr>
            </w:pPr>
            <w:r w:rsidRPr="00BF295F">
              <w:rPr>
                <w:rFonts w:cs="Tahoma"/>
                <w:b/>
                <w:bCs/>
              </w:rPr>
              <w:t>Duration of Contract :</w:t>
            </w:r>
          </w:p>
        </w:tc>
        <w:tc>
          <w:tcPr>
            <w:tcW w:w="5517" w:type="dxa"/>
            <w:vAlign w:val="center"/>
          </w:tcPr>
          <w:p w:rsidR="007A02F7" w:rsidRPr="00BF295F" w:rsidRDefault="007A02F7" w:rsidP="0005234B">
            <w:pPr>
              <w:spacing w:after="0" w:line="240" w:lineRule="auto"/>
              <w:jc w:val="both"/>
              <w:rPr>
                <w:rFonts w:cs="Tahoma"/>
              </w:rPr>
            </w:pPr>
            <w:r w:rsidRPr="00BF295F">
              <w:rPr>
                <w:rFonts w:cs="Tahoma"/>
              </w:rPr>
              <w:t xml:space="preserve"> </w:t>
            </w:r>
          </w:p>
        </w:tc>
      </w:tr>
    </w:tbl>
    <w:p w:rsidR="006659AB" w:rsidRPr="00BF295F" w:rsidRDefault="006659AB" w:rsidP="0005234B">
      <w:pPr>
        <w:spacing w:after="0" w:line="240" w:lineRule="auto"/>
        <w:jc w:val="both"/>
      </w:pPr>
    </w:p>
    <w:p w:rsidR="006659AB" w:rsidRPr="00BF295F" w:rsidRDefault="006659AB" w:rsidP="0005234B">
      <w:pPr>
        <w:spacing w:after="0" w:line="240" w:lineRule="auto"/>
        <w:jc w:val="both"/>
      </w:pPr>
      <w:r w:rsidRPr="00BF295F">
        <w:t xml:space="preserve"> </w:t>
      </w:r>
    </w:p>
    <w:p w:rsidR="00D766C5" w:rsidRPr="00BF295F" w:rsidRDefault="00D766C5" w:rsidP="0005234B">
      <w:pPr>
        <w:spacing w:after="0" w:line="240" w:lineRule="auto"/>
        <w:jc w:val="both"/>
        <w:rPr>
          <w:rFonts w:cstheme="minorHAnsi"/>
          <w:b/>
        </w:rPr>
      </w:pPr>
      <w:r w:rsidRPr="00BF295F">
        <w:rPr>
          <w:rFonts w:cstheme="minorHAnsi"/>
          <w:b/>
        </w:rPr>
        <w:t xml:space="preserve">Background: </w:t>
      </w:r>
    </w:p>
    <w:p w:rsidR="00503F21" w:rsidRPr="00503F21" w:rsidRDefault="00503F21" w:rsidP="00503F21">
      <w:pPr>
        <w:spacing w:after="0" w:line="240" w:lineRule="auto"/>
        <w:jc w:val="both"/>
        <w:rPr>
          <w:rFonts w:cstheme="minorHAnsi"/>
        </w:rPr>
      </w:pPr>
      <w:r w:rsidRPr="00503F21">
        <w:rPr>
          <w:rFonts w:cstheme="minorHAnsi"/>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rsidR="00503F21" w:rsidRPr="00503F21" w:rsidRDefault="00503F21" w:rsidP="00503F21">
      <w:pPr>
        <w:spacing w:after="0" w:line="240" w:lineRule="auto"/>
        <w:jc w:val="both"/>
        <w:rPr>
          <w:rFonts w:cstheme="minorHAnsi"/>
        </w:rPr>
      </w:pPr>
      <w:r w:rsidRPr="00503F21">
        <w:rPr>
          <w:rFonts w:cstheme="minorHAnsi"/>
        </w:rPr>
        <w:t xml:space="preserve"> </w:t>
      </w:r>
    </w:p>
    <w:p w:rsidR="00503F21" w:rsidRPr="00503F21" w:rsidRDefault="00503F21" w:rsidP="00503F21">
      <w:pPr>
        <w:spacing w:after="0" w:line="240" w:lineRule="auto"/>
        <w:jc w:val="both"/>
        <w:rPr>
          <w:rFonts w:cstheme="minorHAnsi"/>
        </w:rPr>
      </w:pPr>
      <w:r w:rsidRPr="00503F21">
        <w:rPr>
          <w:rFonts w:cstheme="minorHAnsi"/>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rsidR="00503F21" w:rsidRPr="00503F21" w:rsidRDefault="00503F21" w:rsidP="00503F21">
      <w:pPr>
        <w:spacing w:after="0" w:line="240" w:lineRule="auto"/>
        <w:jc w:val="both"/>
        <w:rPr>
          <w:rFonts w:cstheme="minorHAnsi"/>
        </w:rPr>
      </w:pPr>
      <w:r w:rsidRPr="00503F21">
        <w:rPr>
          <w:rFonts w:cstheme="minorHAnsi"/>
        </w:rPr>
        <w:t xml:space="preserve"> </w:t>
      </w:r>
    </w:p>
    <w:p w:rsidR="00D766C5" w:rsidRDefault="00503F21" w:rsidP="00503F21">
      <w:pPr>
        <w:spacing w:after="0" w:line="240" w:lineRule="auto"/>
        <w:jc w:val="both"/>
        <w:rPr>
          <w:rFonts w:cstheme="minorHAnsi"/>
        </w:rPr>
      </w:pPr>
      <w:r w:rsidRPr="00503F21">
        <w:rPr>
          <w:rFonts w:cstheme="minorHAnsi"/>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p>
    <w:p w:rsidR="00503F21" w:rsidRPr="00BF295F" w:rsidRDefault="00503F21" w:rsidP="00503F21">
      <w:pPr>
        <w:spacing w:after="0" w:line="240" w:lineRule="auto"/>
        <w:jc w:val="both"/>
        <w:rPr>
          <w:rFonts w:cstheme="minorHAnsi"/>
        </w:rPr>
      </w:pPr>
    </w:p>
    <w:p w:rsidR="00D766C5" w:rsidRPr="00BF295F" w:rsidRDefault="00D766C5" w:rsidP="0005234B">
      <w:pPr>
        <w:spacing w:after="0" w:line="240" w:lineRule="auto"/>
        <w:jc w:val="both"/>
        <w:rPr>
          <w:rFonts w:cstheme="minorHAnsi"/>
          <w:b/>
        </w:rPr>
      </w:pPr>
      <w:r w:rsidRPr="00BF295F">
        <w:rPr>
          <w:rFonts w:cstheme="minorHAnsi"/>
          <w:b/>
        </w:rPr>
        <w:t>UNDP HIV, Health and Development Strategy 2016-2021</w:t>
      </w:r>
    </w:p>
    <w:p w:rsidR="00D766C5" w:rsidRPr="00BF295F" w:rsidRDefault="00D766C5" w:rsidP="0005234B">
      <w:pPr>
        <w:spacing w:after="0" w:line="240" w:lineRule="auto"/>
        <w:jc w:val="both"/>
        <w:rPr>
          <w:rFonts w:cstheme="minorHAnsi"/>
        </w:rPr>
      </w:pPr>
      <w:r w:rsidRPr="00BF295F">
        <w:rPr>
          <w:rFonts w:cstheme="minorHAnsi"/>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rPr>
      </w:pPr>
      <w:r w:rsidRPr="00BF295F">
        <w:rPr>
          <w:rFonts w:cstheme="minorHAnsi"/>
        </w:rPr>
        <w:t xml:space="preserve">UNDP’s work in HIV and health contributes to the </w:t>
      </w:r>
      <w:hyperlink r:id="rId9" w:tgtFrame="_blank" w:history="1">
        <w:r w:rsidRPr="00BF295F">
          <w:rPr>
            <w:rStyle w:val="Hyperlink"/>
            <w:rFonts w:cstheme="minorHAnsi"/>
          </w:rPr>
          <w:t>Sustainable Development Goals</w:t>
        </w:r>
      </w:hyperlink>
      <w:r w:rsidRPr="00BF295F">
        <w:rPr>
          <w:rFonts w:cstheme="minorHAnsi"/>
        </w:rPr>
        <w:t xml:space="preserve"> by addressing the social, economic and environmental determinants of health, health-related inequalities and </w:t>
      </w:r>
      <w:r w:rsidRPr="00BF295F">
        <w:rPr>
          <w:rFonts w:cstheme="minorHAnsi"/>
        </w:rPr>
        <w:lastRenderedPageBreak/>
        <w:t xml:space="preserve">governance for health. UNDP’s work in these areas is outlined in its </w:t>
      </w:r>
      <w:hyperlink r:id="rId10" w:tgtFrame="_blank" w:history="1">
        <w:r w:rsidRPr="00BF295F">
          <w:rPr>
            <w:rStyle w:val="Hyperlink"/>
            <w:rFonts w:cstheme="minorHAnsi"/>
          </w:rPr>
          <w:t>HIV, Health and Development Strategy 2016-2021</w:t>
        </w:r>
      </w:hyperlink>
      <w:r w:rsidRPr="00BF295F">
        <w:rPr>
          <w:rFonts w:cstheme="minorHAnsi"/>
        </w:rPr>
        <w:t>.</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rPr>
      </w:pPr>
      <w:r w:rsidRPr="00BF295F">
        <w:rPr>
          <w:rFonts w:cstheme="minorHAnsi"/>
        </w:rPr>
        <w:t>The strategy encompasses three inter-related action areas, each of which includes three priorities:</w:t>
      </w:r>
    </w:p>
    <w:p w:rsidR="00D766C5" w:rsidRPr="00BF295F" w:rsidRDefault="00D766C5" w:rsidP="0005234B">
      <w:pPr>
        <w:spacing w:after="0" w:line="240" w:lineRule="auto"/>
        <w:jc w:val="both"/>
        <w:rPr>
          <w:rFonts w:cstheme="minorHAnsi"/>
        </w:rPr>
      </w:pPr>
      <w:r w:rsidRPr="00BF295F">
        <w:rPr>
          <w:rFonts w:cstheme="minorHAnsi"/>
          <w:b/>
          <w:bCs/>
        </w:rPr>
        <w:t>Action Area 1:</w:t>
      </w:r>
      <w:r w:rsidRPr="00BF295F">
        <w:rPr>
          <w:rFonts w:cstheme="minorHAnsi"/>
        </w:rPr>
        <w:t xml:space="preserve"> Reducing inequalities and social exclusion that drive HIV and poor health.</w:t>
      </w:r>
    </w:p>
    <w:p w:rsidR="00D766C5" w:rsidRPr="00BF295F" w:rsidRDefault="00D766C5" w:rsidP="0005234B">
      <w:pPr>
        <w:spacing w:after="0" w:line="240" w:lineRule="auto"/>
        <w:jc w:val="both"/>
        <w:rPr>
          <w:rFonts w:cstheme="minorHAnsi"/>
        </w:rPr>
      </w:pPr>
      <w:r w:rsidRPr="00BF295F">
        <w:rPr>
          <w:rFonts w:cstheme="minorHAnsi"/>
          <w:b/>
          <w:bCs/>
        </w:rPr>
        <w:t>Action Area 2:</w:t>
      </w:r>
      <w:r w:rsidRPr="00BF295F">
        <w:rPr>
          <w:rFonts w:cstheme="minorHAnsi"/>
        </w:rPr>
        <w:t xml:space="preserve"> Promoting effective and inclusive governance for health.</w:t>
      </w:r>
    </w:p>
    <w:p w:rsidR="00D766C5" w:rsidRPr="00BF295F" w:rsidRDefault="00D766C5" w:rsidP="0005234B">
      <w:pPr>
        <w:spacing w:after="0" w:line="240" w:lineRule="auto"/>
        <w:jc w:val="both"/>
        <w:rPr>
          <w:rFonts w:cstheme="minorHAnsi"/>
        </w:rPr>
      </w:pPr>
      <w:r w:rsidRPr="00BF295F">
        <w:rPr>
          <w:rFonts w:cstheme="minorHAnsi"/>
          <w:b/>
          <w:bCs/>
        </w:rPr>
        <w:t xml:space="preserve">Action Area 3: </w:t>
      </w:r>
      <w:r w:rsidRPr="00BF295F">
        <w:rPr>
          <w:rFonts w:cstheme="minorHAnsi"/>
        </w:rPr>
        <w:t>Building resilient and sustainable systems for health.</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b/>
          <w:bCs/>
          <w:color w:val="000000"/>
        </w:rPr>
      </w:pPr>
      <w:r w:rsidRPr="00BF295F">
        <w:rPr>
          <w:rFonts w:cstheme="minorHAnsi"/>
          <w:b/>
          <w:bCs/>
          <w:color w:val="000000"/>
        </w:rPr>
        <w:t>HIV, Health and Development Approach</w:t>
      </w:r>
    </w:p>
    <w:p w:rsidR="00D766C5" w:rsidRPr="00BF295F" w:rsidRDefault="00D766C5" w:rsidP="0005234B">
      <w:pPr>
        <w:spacing w:after="0" w:line="240" w:lineRule="auto"/>
        <w:jc w:val="both"/>
        <w:rPr>
          <w:rFonts w:cstheme="minorHAnsi"/>
          <w:color w:val="000000"/>
        </w:rPr>
      </w:pPr>
    </w:p>
    <w:p w:rsidR="00D766C5" w:rsidRPr="00BF295F" w:rsidRDefault="00D766C5" w:rsidP="0005234B">
      <w:pPr>
        <w:spacing w:after="0" w:line="240" w:lineRule="auto"/>
        <w:jc w:val="both"/>
        <w:rPr>
          <w:rFonts w:cstheme="minorHAnsi"/>
          <w:color w:val="000000"/>
        </w:rPr>
      </w:pPr>
      <w:r w:rsidRPr="00BF295F">
        <w:rPr>
          <w:rFonts w:cstheme="minorHAnsi"/>
          <w:color w:val="000000"/>
        </w:rPr>
        <w:t xml:space="preserve">UNDP is a founding co-sponsor of the Joint UN Programme on HIV/AIDS (UNAIDS), a partner of the Global Fund to Fight AIDS, Tuberculosis and Malaria, and a co-sponsor of several other international health partnerships. UNDP’s work on HIV, health and development leverages the organization’s core strengths and mandates in human development, governance and capacity development to complement the efforts of specialist health-focused UN agencies. </w:t>
      </w:r>
    </w:p>
    <w:p w:rsidR="00D766C5" w:rsidRPr="00BF295F" w:rsidRDefault="00D766C5" w:rsidP="0005234B">
      <w:pPr>
        <w:spacing w:after="0" w:line="240" w:lineRule="auto"/>
        <w:jc w:val="both"/>
        <w:rPr>
          <w:rFonts w:cstheme="minorHAnsi"/>
          <w:color w:val="000000"/>
        </w:rPr>
      </w:pPr>
    </w:p>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UNDP’s Partnership with the Global Fund</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rsidR="00D766C5" w:rsidRPr="00BF295F" w:rsidRDefault="00D766C5" w:rsidP="0005234B">
      <w:pPr>
        <w:pStyle w:val="Default"/>
        <w:numPr>
          <w:ilvl w:val="0"/>
          <w:numId w:val="43"/>
        </w:numPr>
        <w:jc w:val="both"/>
        <w:rPr>
          <w:rFonts w:asciiTheme="minorHAnsi" w:hAnsiTheme="minorHAnsi"/>
          <w:sz w:val="22"/>
          <w:szCs w:val="22"/>
        </w:rPr>
      </w:pPr>
      <w:r w:rsidRPr="00BF295F">
        <w:rPr>
          <w:rFonts w:asciiTheme="minorHAnsi" w:hAnsiTheme="minorHAnsi"/>
          <w:sz w:val="22"/>
          <w:szCs w:val="22"/>
        </w:rPr>
        <w:t>UNDP supports the implementation of Global Fund programmes on an interim basis in countries facing significant capacity constraints, complex emergencies, donor sanctions, or other difficult circumstances;</w:t>
      </w:r>
    </w:p>
    <w:p w:rsidR="00D766C5" w:rsidRPr="00BF295F" w:rsidRDefault="00D766C5" w:rsidP="0005234B">
      <w:pPr>
        <w:pStyle w:val="Default"/>
        <w:numPr>
          <w:ilvl w:val="0"/>
          <w:numId w:val="43"/>
        </w:numPr>
        <w:jc w:val="both"/>
        <w:rPr>
          <w:rFonts w:asciiTheme="minorHAnsi" w:hAnsiTheme="minorHAnsi"/>
          <w:sz w:val="22"/>
          <w:szCs w:val="22"/>
        </w:rPr>
      </w:pPr>
      <w:r w:rsidRPr="00BF295F">
        <w:rPr>
          <w:rFonts w:asciiTheme="minorHAnsi" w:hAnsiTheme="minorHAnsi"/>
          <w:sz w:val="22"/>
          <w:szCs w:val="22"/>
        </w:rPr>
        <w:t>Develops national capacity and strengthens national systems to gradually reduce the need for UNDP implementation support and to transfer the role of Principal Recipient to national entities when circumstances permit;</w:t>
      </w:r>
    </w:p>
    <w:p w:rsidR="00BF295F" w:rsidRPr="009B738C" w:rsidRDefault="009B738C" w:rsidP="0005234B">
      <w:pPr>
        <w:pStyle w:val="Default"/>
        <w:numPr>
          <w:ilvl w:val="0"/>
          <w:numId w:val="43"/>
        </w:numPr>
        <w:jc w:val="both"/>
        <w:rPr>
          <w:rFonts w:asciiTheme="minorHAnsi" w:hAnsiTheme="minorHAnsi"/>
          <w:sz w:val="22"/>
          <w:szCs w:val="22"/>
        </w:rPr>
      </w:pPr>
      <w:r>
        <w:rPr>
          <w:rFonts w:asciiTheme="minorHAnsi" w:hAnsiTheme="minorHAnsi"/>
          <w:sz w:val="22"/>
          <w:szCs w:val="22"/>
        </w:rPr>
        <w:t>T</w:t>
      </w:r>
      <w:r w:rsidR="00D766C5" w:rsidRPr="00BF295F">
        <w:rPr>
          <w:rFonts w:asciiTheme="minorHAnsi" w:hAnsiTheme="minorHAnsi"/>
          <w:sz w:val="22"/>
          <w:szCs w:val="22"/>
        </w:rPr>
        <w:t>ransforms national responses to the 3 diseases by providing policy and technical support in areas of UNDP expertise and mandate, such as human rights, gender, sustainable financing and environmental sustainability, and reaching key populations at higher risk</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BF295F">
          <w:rPr>
            <w:rStyle w:val="Hyperlink"/>
            <w:rFonts w:asciiTheme="minorHAnsi" w:hAnsiTheme="minorHAnsi"/>
            <w:sz w:val="22"/>
            <w:szCs w:val="22"/>
          </w:rPr>
          <w:t>Country Coordinating Mechanism</w:t>
        </w:r>
      </w:hyperlink>
      <w:r w:rsidRPr="00BF295F">
        <w:rPr>
          <w:rFonts w:asciiTheme="minorHAnsi" w:hAnsiTheme="minorHAnsi"/>
          <w:sz w:val="22"/>
          <w:szCs w:val="22"/>
        </w:rPr>
        <w:t xml:space="preserve"> and/or the Global Fund, including in countries under the Global Fund’s </w:t>
      </w:r>
      <w:hyperlink r:id="rId12" w:tgtFrame="_blank" w:tooltip="Additional Safeguards Policy" w:history="1">
        <w:r w:rsidRPr="00BF295F">
          <w:rPr>
            <w:rStyle w:val="Hyperlink"/>
            <w:rFonts w:asciiTheme="minorHAnsi" w:hAnsiTheme="minorHAnsi"/>
            <w:sz w:val="22"/>
            <w:szCs w:val="22"/>
          </w:rPr>
          <w:t>Additional Safeguards Policy</w:t>
        </w:r>
      </w:hyperlink>
      <w:r w:rsidRPr="00BF295F">
        <w:rPr>
          <w:rFonts w:asciiTheme="minorHAnsi" w:hAnsiTheme="minorHAnsi"/>
          <w:sz w:val="22"/>
          <w:szCs w:val="22"/>
        </w:rPr>
        <w:t xml:space="preserve"> (ASP).</w:t>
      </w:r>
    </w:p>
    <w:p w:rsidR="00D766C5" w:rsidRPr="00BF295F" w:rsidRDefault="00D766C5" w:rsidP="0005234B">
      <w:pPr>
        <w:pStyle w:val="Default"/>
        <w:jc w:val="both"/>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D766C5" w:rsidRPr="00BF295F" w:rsidTr="009B738C">
        <w:trPr>
          <w:trHeight w:val="1985"/>
        </w:trPr>
        <w:tc>
          <w:tcPr>
            <w:tcW w:w="9441" w:type="dxa"/>
          </w:tcPr>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 Results</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has </w:t>
            </w:r>
            <w:hyperlink r:id="rId13" w:tooltip="Our results" w:history="1">
              <w:r w:rsidRPr="00BF295F">
                <w:rPr>
                  <w:rStyle w:val="Hyperlink"/>
                  <w:rFonts w:asciiTheme="minorHAnsi" w:hAnsiTheme="minorHAnsi"/>
                  <w:sz w:val="22"/>
                  <w:szCs w:val="22"/>
                </w:rPr>
                <w:t>contributed to saving 2.5 Million lives</w:t>
              </w:r>
            </w:hyperlink>
            <w:r w:rsidRPr="00BF295F">
              <w:rPr>
                <w:rFonts w:asciiTheme="minorHAnsi" w:hAnsiTheme="minorHAnsi"/>
                <w:sz w:val="22"/>
                <w:szCs w:val="22"/>
              </w:rPr>
              <w:t xml:space="preserve"> through the UNDP-GF Partnership. As of July 2016, UNDP is managing 39 grants in 22 countries, as well as 3 regional grants in South Asia, Asia Pacific and Africa. The current total value of the portfolio in signed grant agreements is $1.7 billion. Total portfolio expenditure in 2015 was US $423 million.</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consistently outperforms other implementers of Global Fund grants. Fifty four percent of UNDP grants are currently rated A1 or A2 </w:t>
            </w:r>
            <w:r w:rsidR="009B738C">
              <w:rPr>
                <w:rFonts w:asciiTheme="minorHAnsi" w:hAnsiTheme="minorHAnsi"/>
                <w:sz w:val="22"/>
                <w:szCs w:val="22"/>
              </w:rPr>
              <w:t>(‘exceed’ or ‘meet expectations’</w:t>
            </w:r>
            <w:r w:rsidR="009B738C" w:rsidRPr="00951A6E">
              <w:rPr>
                <w:rFonts w:asciiTheme="minorHAnsi" w:hAnsiTheme="minorHAnsi"/>
                <w:sz w:val="22"/>
                <w:szCs w:val="22"/>
              </w:rPr>
              <w:t xml:space="preserve">) </w:t>
            </w:r>
            <w:r w:rsidRPr="00BF295F">
              <w:rPr>
                <w:rFonts w:asciiTheme="minorHAnsi" w:hAnsiTheme="minorHAnsi"/>
                <w:sz w:val="22"/>
                <w:szCs w:val="22"/>
              </w:rPr>
              <w:t>by the Global Fund, compared to thirty-nine percent for grants managed by other partners, despite the fact that UNDP is operating in some of the most difficult country contexts.</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lastRenderedPageBreak/>
              <w:t>UNDP’s Global Fund portfolio has saved</w:t>
            </w:r>
            <w:r w:rsidRPr="00BF295F">
              <w:rPr>
                <w:rFonts w:asciiTheme="minorHAnsi" w:hAnsiTheme="minorHAnsi"/>
                <w:b/>
                <w:bCs/>
                <w:sz w:val="22"/>
                <w:szCs w:val="22"/>
                <w:u w:val="single"/>
              </w:rPr>
              <w:t xml:space="preserve"> 2.5 million lives</w:t>
            </w:r>
            <w:r w:rsidRPr="00BF295F">
              <w:rPr>
                <w:rFonts w:asciiTheme="minorHAnsi" w:hAnsiTheme="minorHAnsi"/>
                <w:sz w:val="22"/>
                <w:szCs w:val="22"/>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Beyond this programme implementation role, the past few years have seen a further deepening in UNDP’s engagement with the Global Fund on </w:t>
            </w:r>
            <w:hyperlink r:id="rId14" w:tooltip="Critical Enablers" w:history="1">
              <w:r w:rsidRPr="00BF295F">
                <w:rPr>
                  <w:rStyle w:val="Hyperlink"/>
                  <w:rFonts w:asciiTheme="minorHAnsi" w:hAnsiTheme="minorHAnsi"/>
                  <w:sz w:val="22"/>
                  <w:szCs w:val="22"/>
                </w:rPr>
                <w:t>human rights</w:t>
              </w:r>
            </w:hyperlink>
            <w:r w:rsidRPr="00BF295F">
              <w:rPr>
                <w:rFonts w:asciiTheme="minorHAnsi" w:hAnsiTheme="minorHAnsi"/>
                <w:sz w:val="22"/>
                <w:szCs w:val="22"/>
              </w:rPr>
              <w:t xml:space="preserve">, key populations, gender, </w:t>
            </w:r>
            <w:hyperlink r:id="rId15" w:tgtFrame="_blank" w:tooltip="Functional Capacities" w:history="1">
              <w:r w:rsidRPr="00BF295F">
                <w:rPr>
                  <w:rStyle w:val="Hyperlink"/>
                  <w:rFonts w:asciiTheme="minorHAnsi" w:hAnsiTheme="minorHAnsi"/>
                  <w:sz w:val="22"/>
                  <w:szCs w:val="22"/>
                </w:rPr>
                <w:t>capacity development of systems for health</w:t>
              </w:r>
            </w:hyperlink>
            <w:r w:rsidRPr="00BF295F">
              <w:rPr>
                <w:rFonts w:asciiTheme="minorHAnsi" w:hAnsiTheme="minorHAnsi"/>
                <w:sz w:val="22"/>
                <w:szCs w:val="22"/>
              </w:rPr>
              <w:t>, sustainable financing, and other key strategic issues.</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 and Capacity Development</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While managing Global Fund grants, UNDP simultaneously works to develop the capacity of governments and/or civil society organizations to serve as PRs when circumstances permit. It works to develop national capacity with a focus on long-term sustainability, leveraging UNDP’s global experience and its expertise in capacity development.</w:t>
            </w:r>
          </w:p>
          <w:p w:rsidR="00D766C5" w:rsidRPr="00BF295F" w:rsidRDefault="00D766C5" w:rsidP="0005234B">
            <w:pPr>
              <w:pStyle w:val="Default"/>
              <w:jc w:val="both"/>
              <w:rPr>
                <w:rFonts w:asciiTheme="minorHAnsi" w:hAnsiTheme="minorHAnsi"/>
                <w:sz w:val="22"/>
                <w:szCs w:val="22"/>
              </w:rPr>
            </w:pPr>
          </w:p>
          <w:p w:rsidR="00D766C5" w:rsidRPr="00BF295F" w:rsidRDefault="00200393" w:rsidP="0005234B">
            <w:pPr>
              <w:pStyle w:val="Default"/>
              <w:jc w:val="both"/>
              <w:rPr>
                <w:rFonts w:asciiTheme="minorHAnsi" w:hAnsiTheme="minorHAnsi"/>
                <w:sz w:val="22"/>
                <w:szCs w:val="22"/>
              </w:rPr>
            </w:pPr>
            <w:hyperlink r:id="rId16" w:tooltip="Understanding Capacity Development" w:history="1">
              <w:r w:rsidR="00D766C5" w:rsidRPr="00BF295F">
                <w:rPr>
                  <w:rStyle w:val="Hyperlink"/>
                  <w:rFonts w:asciiTheme="minorHAnsi" w:hAnsiTheme="minorHAnsi"/>
                  <w:sz w:val="22"/>
                  <w:szCs w:val="22"/>
                </w:rPr>
                <w:t>Capacity Development</w:t>
              </w:r>
            </w:hyperlink>
            <w:r w:rsidR="00D766C5" w:rsidRPr="00BF295F">
              <w:rPr>
                <w:rFonts w:asciiTheme="minorHAnsi" w:hAnsiTheme="minorHAnsi"/>
                <w:sz w:val="22"/>
                <w:szCs w:val="22"/>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Utilisation of national systems helps to strengthen them.</w:t>
            </w:r>
          </w:p>
          <w:p w:rsidR="00D766C5" w:rsidRPr="00BF295F" w:rsidRDefault="00D766C5" w:rsidP="0005234B">
            <w:pPr>
              <w:pStyle w:val="Default"/>
              <w:jc w:val="both"/>
              <w:rPr>
                <w:rFonts w:asciiTheme="minorHAnsi" w:hAnsiTheme="minorHAnsi"/>
                <w:sz w:val="22"/>
                <w:szCs w:val="22"/>
              </w:rPr>
            </w:pPr>
          </w:p>
        </w:tc>
      </w:tr>
    </w:tbl>
    <w:p w:rsidR="00D766C5" w:rsidRPr="00BF295F" w:rsidRDefault="00D766C5" w:rsidP="0005234B">
      <w:pPr>
        <w:spacing w:after="0" w:line="240" w:lineRule="auto"/>
        <w:jc w:val="both"/>
        <w:rPr>
          <w:rFonts w:cstheme="minorHAnsi"/>
          <w:b/>
          <w:color w:val="000000"/>
        </w:rPr>
      </w:pPr>
      <w:r w:rsidRPr="00BF295F">
        <w:rPr>
          <w:rFonts w:cstheme="minorHAnsi"/>
          <w:b/>
          <w:color w:val="000000"/>
        </w:rPr>
        <w:lastRenderedPageBreak/>
        <w:t>UNDP Global Fund Capacity Development Toolkit:</w:t>
      </w:r>
    </w:p>
    <w:p w:rsidR="00D766C5" w:rsidRPr="00BF295F" w:rsidRDefault="00D766C5" w:rsidP="0005234B">
      <w:pPr>
        <w:spacing w:after="0" w:line="240" w:lineRule="auto"/>
        <w:jc w:val="both"/>
        <w:rPr>
          <w:rFonts w:cstheme="minorHAnsi"/>
          <w:color w:val="000000"/>
        </w:rPr>
      </w:pPr>
      <w:r w:rsidRPr="00BF295F">
        <w:rPr>
          <w:rFonts w:cstheme="minorHAnsi"/>
          <w:color w:val="000000"/>
        </w:rPr>
        <w:t xml:space="preserve">The Capacity Development Toolkit </w:t>
      </w:r>
      <w:hyperlink r:id="rId17" w:history="1">
        <w:r w:rsidRPr="00BF295F">
          <w:rPr>
            <w:rStyle w:val="Hyperlink"/>
            <w:rFonts w:cstheme="minorHAnsi"/>
          </w:rPr>
          <w:t>http://www.undp-globalfund-capacitydevelopment.org/</w:t>
        </w:r>
      </w:hyperlink>
      <w:r w:rsidRPr="00BF295F">
        <w:rPr>
          <w:rFonts w:cstheme="minorHAnsi"/>
          <w:color w:val="000000"/>
        </w:rPr>
        <w:t xml:space="preserve"> provides a platform to further respond to the growing opportunities to strengthen national disease responses for HIV, TB and Malaria.</w:t>
      </w:r>
    </w:p>
    <w:p w:rsidR="00D766C5" w:rsidRDefault="00D766C5" w:rsidP="0005234B">
      <w:pPr>
        <w:spacing w:after="0" w:line="240" w:lineRule="auto"/>
        <w:jc w:val="both"/>
        <w:rPr>
          <w:rFonts w:cstheme="minorHAnsi"/>
          <w:b/>
        </w:rPr>
      </w:pPr>
    </w:p>
    <w:p w:rsidR="00BF295F" w:rsidRPr="00BF295F" w:rsidRDefault="00BF295F" w:rsidP="0005234B">
      <w:pPr>
        <w:spacing w:after="0" w:line="240" w:lineRule="auto"/>
        <w:jc w:val="both"/>
        <w:rPr>
          <w:rFonts w:cstheme="minorHAnsi"/>
          <w:b/>
        </w:rPr>
      </w:pPr>
    </w:p>
    <w:p w:rsidR="00D766C5" w:rsidRPr="00BF295F" w:rsidRDefault="00D766C5" w:rsidP="0005234B">
      <w:pPr>
        <w:spacing w:after="0" w:line="240" w:lineRule="auto"/>
        <w:jc w:val="both"/>
        <w:rPr>
          <w:rFonts w:cstheme="minorHAnsi"/>
          <w:b/>
        </w:rPr>
      </w:pPr>
      <w:r w:rsidRPr="00BF295F">
        <w:rPr>
          <w:rFonts w:cstheme="minorHAnsi"/>
          <w:b/>
        </w:rPr>
        <w:t>Country Background:</w:t>
      </w:r>
    </w:p>
    <w:p w:rsidR="00D766C5" w:rsidRPr="00BF295F" w:rsidRDefault="00D766C5" w:rsidP="0005234B">
      <w:pPr>
        <w:spacing w:after="0" w:line="240" w:lineRule="auto"/>
        <w:jc w:val="both"/>
        <w:rPr>
          <w:rFonts w:cstheme="minorHAnsi"/>
          <w:i/>
        </w:rPr>
      </w:pPr>
      <w:r w:rsidRPr="00BF295F">
        <w:rPr>
          <w:rFonts w:cstheme="minorHAnsi"/>
          <w:i/>
          <w:highlight w:val="yellow"/>
        </w:rPr>
        <w:t xml:space="preserve">Information on the country context and the specific Global Fund grants </w:t>
      </w:r>
      <w:r w:rsidR="009B738C">
        <w:rPr>
          <w:rFonts w:cstheme="minorHAnsi"/>
          <w:i/>
          <w:highlight w:val="yellow"/>
        </w:rPr>
        <w:t>being implemented</w:t>
      </w:r>
      <w:r w:rsidRPr="00BF295F">
        <w:rPr>
          <w:rFonts w:cstheme="minorHAnsi"/>
          <w:i/>
          <w:highlight w:val="yellow"/>
        </w:rPr>
        <w:t>…</w:t>
      </w:r>
    </w:p>
    <w:p w:rsidR="00BD08C5" w:rsidRDefault="00BD08C5" w:rsidP="0005234B">
      <w:pPr>
        <w:spacing w:after="0" w:line="240" w:lineRule="auto"/>
        <w:jc w:val="both"/>
      </w:pPr>
    </w:p>
    <w:p w:rsidR="00BF295F" w:rsidRPr="00BF295F" w:rsidRDefault="00BF295F" w:rsidP="0005234B">
      <w:pPr>
        <w:spacing w:after="0" w:line="240" w:lineRule="auto"/>
        <w:jc w:val="both"/>
      </w:pPr>
    </w:p>
    <w:p w:rsidR="00D766C5" w:rsidRPr="00BF295F" w:rsidRDefault="00D766C5" w:rsidP="0005234B">
      <w:pPr>
        <w:spacing w:after="0" w:line="240" w:lineRule="auto"/>
        <w:jc w:val="both"/>
        <w:rPr>
          <w:rFonts w:cstheme="minorHAnsi"/>
          <w:b/>
          <w:bCs/>
        </w:rPr>
      </w:pPr>
      <w:r w:rsidRPr="00BF295F">
        <w:rPr>
          <w:rFonts w:cstheme="minorHAnsi"/>
          <w:b/>
          <w:bCs/>
        </w:rPr>
        <w:t>Objective of the Consultancy</w:t>
      </w:r>
    </w:p>
    <w:p w:rsidR="00BF295F" w:rsidRDefault="00D766C5" w:rsidP="0005234B">
      <w:pPr>
        <w:spacing w:after="0" w:line="240" w:lineRule="auto"/>
        <w:jc w:val="both"/>
        <w:rPr>
          <w:rFonts w:cstheme="minorHAnsi"/>
          <w:b/>
        </w:rPr>
      </w:pPr>
      <w:r w:rsidRPr="00BF295F">
        <w:rPr>
          <w:rFonts w:cstheme="minorHAnsi"/>
          <w:bCs/>
        </w:rPr>
        <w:t xml:space="preserve">The overall objective of this consultancy is to carry </w:t>
      </w:r>
      <w:r w:rsidR="00BF295F">
        <w:t>out a Mid-T</w:t>
      </w:r>
      <w:r w:rsidRPr="00BF295F">
        <w:t xml:space="preserve">erm </w:t>
      </w:r>
      <w:r w:rsidR="00BF295F">
        <w:t>R</w:t>
      </w:r>
      <w:r w:rsidRPr="00BF295F">
        <w:t xml:space="preserve">eview </w:t>
      </w:r>
      <w:r w:rsidR="0010698F">
        <w:t>of the Capacity Development Plan and</w:t>
      </w:r>
      <w:r w:rsidRPr="00BF295F">
        <w:t xml:space="preserve"> to use the findings to redesign the project </w:t>
      </w:r>
      <w:r w:rsidR="00D235AB">
        <w:t xml:space="preserve">for the final year(s) </w:t>
      </w:r>
      <w:r w:rsidR="0005234B">
        <w:t xml:space="preserve">where required, with the end result of a </w:t>
      </w:r>
      <w:r w:rsidR="0010698F">
        <w:t>revised and prioritis</w:t>
      </w:r>
      <w:r w:rsidRPr="00BF295F">
        <w:t xml:space="preserve">ed Capacity Development Action Plan. </w:t>
      </w:r>
    </w:p>
    <w:p w:rsidR="00BF295F" w:rsidRDefault="00BF295F" w:rsidP="0005234B">
      <w:pPr>
        <w:spacing w:after="0" w:line="240" w:lineRule="auto"/>
        <w:jc w:val="both"/>
        <w:rPr>
          <w:rFonts w:cstheme="minorHAnsi"/>
          <w:b/>
        </w:rPr>
      </w:pPr>
    </w:p>
    <w:p w:rsidR="00125D20" w:rsidRDefault="00125D20" w:rsidP="0005234B">
      <w:pPr>
        <w:spacing w:after="0" w:line="240" w:lineRule="auto"/>
        <w:jc w:val="both"/>
        <w:rPr>
          <w:rFonts w:cstheme="minorHAnsi"/>
          <w:b/>
        </w:rPr>
      </w:pPr>
    </w:p>
    <w:p w:rsidR="00BD08C5" w:rsidRDefault="00D766C5" w:rsidP="0005234B">
      <w:pPr>
        <w:spacing w:after="0" w:line="240" w:lineRule="auto"/>
        <w:jc w:val="both"/>
        <w:rPr>
          <w:rFonts w:cstheme="minorHAnsi"/>
          <w:b/>
        </w:rPr>
      </w:pPr>
      <w:r w:rsidRPr="00BF295F">
        <w:rPr>
          <w:rFonts w:cstheme="minorHAnsi"/>
          <w:b/>
        </w:rPr>
        <w:t>Duties and Responsibilities</w:t>
      </w:r>
    </w:p>
    <w:p w:rsidR="009B738C" w:rsidRPr="009B738C" w:rsidRDefault="009B738C" w:rsidP="009B738C">
      <w:pPr>
        <w:spacing w:after="0" w:line="240" w:lineRule="auto"/>
        <w:jc w:val="both"/>
        <w:rPr>
          <w:rFonts w:cstheme="minorHAnsi"/>
          <w:lang w:val="en-GB"/>
        </w:rPr>
      </w:pPr>
      <w:r w:rsidRPr="00855F42">
        <w:rPr>
          <w:rFonts w:cstheme="minorHAnsi"/>
          <w:lang w:val="en-GB"/>
        </w:rPr>
        <w:t xml:space="preserve">Under the overall supervision of the </w:t>
      </w:r>
      <w:r w:rsidRPr="00855F42">
        <w:rPr>
          <w:rFonts w:cstheme="minorHAnsi"/>
          <w:i/>
          <w:highlight w:val="yellow"/>
          <w:lang w:val="en-GB"/>
        </w:rPr>
        <w:t>XXXX</w:t>
      </w:r>
      <w:r w:rsidRPr="00855F42">
        <w:rPr>
          <w:rFonts w:cstheme="minorHAnsi"/>
          <w:i/>
          <w:lang w:val="en-GB"/>
        </w:rPr>
        <w:t xml:space="preserve"> </w:t>
      </w:r>
      <w:r w:rsidRPr="00855F42">
        <w:rPr>
          <w:rFonts w:cstheme="minorHAnsi"/>
          <w:lang w:val="en-GB"/>
        </w:rPr>
        <w:t>the Consultant will be responsible for the following:</w:t>
      </w:r>
    </w:p>
    <w:p w:rsidR="009B738C" w:rsidRPr="00855F42" w:rsidRDefault="009B738C" w:rsidP="009B738C">
      <w:pPr>
        <w:pStyle w:val="ListParagraph"/>
        <w:numPr>
          <w:ilvl w:val="0"/>
          <w:numId w:val="42"/>
        </w:numPr>
        <w:spacing w:after="0" w:line="240" w:lineRule="auto"/>
        <w:jc w:val="both"/>
        <w:rPr>
          <w:lang w:val="en-GB"/>
        </w:rPr>
      </w:pPr>
      <w:r>
        <w:rPr>
          <w:lang w:val="en-GB"/>
        </w:rPr>
        <w:t>C</w:t>
      </w:r>
      <w:r w:rsidRPr="00855F42">
        <w:rPr>
          <w:lang w:val="en-GB"/>
        </w:rPr>
        <w:t xml:space="preserve">onduct a desk review of </w:t>
      </w:r>
      <w:r>
        <w:rPr>
          <w:lang w:val="en-GB"/>
        </w:rPr>
        <w:t xml:space="preserve">documentation covering </w:t>
      </w:r>
      <w:r w:rsidRPr="00855F42">
        <w:rPr>
          <w:lang w:val="en-GB"/>
        </w:rPr>
        <w:t xml:space="preserve">capacity development </w:t>
      </w:r>
      <w:r>
        <w:rPr>
          <w:lang w:val="en-GB"/>
        </w:rPr>
        <w:t>activities</w:t>
      </w:r>
      <w:r w:rsidRPr="00855F42">
        <w:rPr>
          <w:lang w:val="en-GB"/>
        </w:rPr>
        <w:t xml:space="preserve">. </w:t>
      </w:r>
    </w:p>
    <w:p w:rsidR="009B738C" w:rsidRPr="00855F42" w:rsidRDefault="009B738C" w:rsidP="009B738C">
      <w:pPr>
        <w:pStyle w:val="ListParagraph"/>
        <w:numPr>
          <w:ilvl w:val="0"/>
          <w:numId w:val="42"/>
        </w:numPr>
        <w:spacing w:after="0" w:line="240" w:lineRule="auto"/>
        <w:jc w:val="both"/>
        <w:rPr>
          <w:lang w:val="en-GB"/>
        </w:rPr>
      </w:pPr>
      <w:r>
        <w:rPr>
          <w:lang w:val="en-GB"/>
        </w:rPr>
        <w:t>F</w:t>
      </w:r>
      <w:r w:rsidRPr="00855F42">
        <w:rPr>
          <w:lang w:val="en-GB"/>
        </w:rPr>
        <w:t xml:space="preserve">acilitate a Capacity Development </w:t>
      </w:r>
      <w:r>
        <w:rPr>
          <w:lang w:val="en-GB"/>
        </w:rPr>
        <w:t>review</w:t>
      </w:r>
      <w:r w:rsidRPr="00855F42">
        <w:rPr>
          <w:lang w:val="en-GB"/>
        </w:rPr>
        <w:t xml:space="preserve"> process with national stakeholders and partners. </w:t>
      </w:r>
    </w:p>
    <w:p w:rsidR="009B738C" w:rsidRPr="00855F42" w:rsidRDefault="009B738C" w:rsidP="009B738C">
      <w:pPr>
        <w:pStyle w:val="ListParagraph"/>
        <w:numPr>
          <w:ilvl w:val="0"/>
          <w:numId w:val="42"/>
        </w:numPr>
        <w:spacing w:after="0" w:line="240" w:lineRule="auto"/>
        <w:jc w:val="both"/>
        <w:rPr>
          <w:lang w:val="en-GB"/>
        </w:rPr>
      </w:pPr>
      <w:r>
        <w:rPr>
          <w:lang w:val="en-GB"/>
        </w:rPr>
        <w:t>P</w:t>
      </w:r>
      <w:r w:rsidRPr="00855F42">
        <w:rPr>
          <w:lang w:val="en-GB"/>
        </w:rPr>
        <w:t xml:space="preserve">repare a </w:t>
      </w:r>
      <w:r>
        <w:rPr>
          <w:lang w:val="en-GB"/>
        </w:rPr>
        <w:t xml:space="preserve">revised </w:t>
      </w:r>
      <w:r w:rsidRPr="00855F42">
        <w:rPr>
          <w:lang w:val="en-GB"/>
        </w:rPr>
        <w:t xml:space="preserve">Capacity Development Plan with Action Plan and Budgets based on the </w:t>
      </w:r>
      <w:r>
        <w:rPr>
          <w:lang w:val="en-GB"/>
        </w:rPr>
        <w:t>review</w:t>
      </w:r>
      <w:r w:rsidRPr="00855F42">
        <w:rPr>
          <w:lang w:val="en-GB"/>
        </w:rPr>
        <w:t>.</w:t>
      </w:r>
    </w:p>
    <w:p w:rsidR="009B738C" w:rsidRPr="009B738C" w:rsidRDefault="009B738C" w:rsidP="009B738C">
      <w:pPr>
        <w:pStyle w:val="ListParagraph"/>
        <w:numPr>
          <w:ilvl w:val="0"/>
          <w:numId w:val="42"/>
        </w:numPr>
        <w:spacing w:after="0" w:line="240" w:lineRule="auto"/>
        <w:jc w:val="both"/>
        <w:rPr>
          <w:lang w:val="en-GB"/>
        </w:rPr>
      </w:pPr>
      <w:r>
        <w:rPr>
          <w:lang w:val="en-GB"/>
        </w:rPr>
        <w:t>F</w:t>
      </w:r>
      <w:r w:rsidRPr="00855F42">
        <w:rPr>
          <w:lang w:val="en-GB"/>
        </w:rPr>
        <w:t xml:space="preserve">acilitate a review of the </w:t>
      </w:r>
      <w:r>
        <w:rPr>
          <w:lang w:val="en-GB"/>
        </w:rPr>
        <w:t>revised</w:t>
      </w:r>
      <w:r w:rsidRPr="00855F42">
        <w:rPr>
          <w:lang w:val="en-GB"/>
        </w:rPr>
        <w:t xml:space="preserve"> Capacity Development Plan with stakeholders, identifying priorities, who will be responsible and the implementation work plan. </w:t>
      </w:r>
    </w:p>
    <w:p w:rsidR="00A04A84" w:rsidRPr="00BF295F" w:rsidRDefault="009B738C" w:rsidP="0005234B">
      <w:pPr>
        <w:pStyle w:val="ListParagraph"/>
        <w:numPr>
          <w:ilvl w:val="0"/>
          <w:numId w:val="42"/>
        </w:numPr>
        <w:spacing w:after="0" w:line="240" w:lineRule="auto"/>
        <w:jc w:val="both"/>
      </w:pPr>
      <w:r>
        <w:t>D</w:t>
      </w:r>
      <w:r w:rsidR="00D7150D" w:rsidRPr="00BF295F">
        <w:t>ocument and</w:t>
      </w:r>
      <w:r w:rsidR="00E81544" w:rsidRPr="00BF295F">
        <w:t xml:space="preserve"> disseminate </w:t>
      </w:r>
      <w:r w:rsidR="00D7150D" w:rsidRPr="00BF295F">
        <w:t xml:space="preserve">progress made, </w:t>
      </w:r>
      <w:r w:rsidR="00A04A84" w:rsidRPr="00BF295F">
        <w:t xml:space="preserve">key </w:t>
      </w:r>
      <w:r w:rsidR="00C00039" w:rsidRPr="00BF295F">
        <w:t>results</w:t>
      </w:r>
      <w:r w:rsidR="0005234B">
        <w:t>,</w:t>
      </w:r>
      <w:r w:rsidR="00A04A84" w:rsidRPr="00BF295F">
        <w:t xml:space="preserve"> challenges, lessons learnt and best practices of the pro</w:t>
      </w:r>
      <w:r w:rsidR="00D7150D" w:rsidRPr="00BF295F">
        <w:t>ject</w:t>
      </w:r>
      <w:r w:rsidR="0005234B">
        <w:t>.</w:t>
      </w:r>
    </w:p>
    <w:p w:rsidR="0005234B" w:rsidRPr="00BF295F" w:rsidRDefault="0005234B" w:rsidP="0005234B">
      <w:pPr>
        <w:pStyle w:val="ListParagraph"/>
        <w:numPr>
          <w:ilvl w:val="0"/>
          <w:numId w:val="42"/>
        </w:numPr>
        <w:spacing w:after="0" w:line="240" w:lineRule="auto"/>
        <w:jc w:val="both"/>
      </w:pPr>
      <w:r w:rsidRPr="00BF295F">
        <w:t>Make recommendations on the key findings</w:t>
      </w:r>
      <w:r>
        <w:t>.</w:t>
      </w:r>
    </w:p>
    <w:p w:rsidR="00671D0A" w:rsidRDefault="00671D0A" w:rsidP="0005234B">
      <w:pPr>
        <w:spacing w:after="0" w:line="240" w:lineRule="auto"/>
        <w:jc w:val="both"/>
        <w:rPr>
          <w:highlight w:val="yellow"/>
        </w:rPr>
      </w:pPr>
    </w:p>
    <w:p w:rsidR="009B738C" w:rsidRPr="00855F42" w:rsidRDefault="009B738C" w:rsidP="00DD4799">
      <w:pPr>
        <w:spacing w:after="0" w:line="240" w:lineRule="auto"/>
        <w:jc w:val="both"/>
        <w:rPr>
          <w:rFonts w:cstheme="minorHAnsi"/>
          <w:lang w:val="en-GB"/>
        </w:rPr>
      </w:pPr>
      <w:r w:rsidRPr="00855F42">
        <w:rPr>
          <w:rFonts w:cstheme="minorHAnsi"/>
          <w:lang w:val="en-GB"/>
        </w:rPr>
        <w:lastRenderedPageBreak/>
        <w:t xml:space="preserve">Following feedback on the </w:t>
      </w:r>
      <w:r>
        <w:rPr>
          <w:rFonts w:cstheme="minorHAnsi"/>
          <w:lang w:val="en-GB"/>
        </w:rPr>
        <w:t xml:space="preserve">Revised </w:t>
      </w:r>
      <w:r w:rsidRPr="00855F42">
        <w:rPr>
          <w:rFonts w:cstheme="minorHAnsi"/>
          <w:lang w:val="en-GB"/>
        </w:rPr>
        <w:t>Capacity Development Plan make final revisions to the document:</w:t>
      </w:r>
    </w:p>
    <w:p w:rsidR="009B738C" w:rsidRPr="00855F42" w:rsidRDefault="009B738C" w:rsidP="009B738C">
      <w:pPr>
        <w:pStyle w:val="ListParagraph"/>
        <w:numPr>
          <w:ilvl w:val="0"/>
          <w:numId w:val="49"/>
        </w:numPr>
        <w:spacing w:after="0" w:line="240" w:lineRule="auto"/>
        <w:jc w:val="both"/>
        <w:rPr>
          <w:lang w:val="en-GB"/>
        </w:rPr>
      </w:pPr>
      <w:r>
        <w:rPr>
          <w:lang w:val="en-GB"/>
        </w:rPr>
        <w:t>To e</w:t>
      </w:r>
      <w:r w:rsidRPr="00855F42">
        <w:rPr>
          <w:lang w:val="en-GB"/>
        </w:rPr>
        <w:t xml:space="preserve">nsure that Key Affected Populations needs are represented in the above process and reflected in the capacity development actions. </w:t>
      </w:r>
    </w:p>
    <w:p w:rsidR="009B738C" w:rsidRPr="00855F42" w:rsidRDefault="009B738C" w:rsidP="009B738C">
      <w:pPr>
        <w:pStyle w:val="ListParagraph"/>
        <w:numPr>
          <w:ilvl w:val="0"/>
          <w:numId w:val="49"/>
        </w:numPr>
        <w:spacing w:after="0" w:line="240" w:lineRule="auto"/>
        <w:jc w:val="both"/>
        <w:rPr>
          <w:lang w:val="en-GB"/>
        </w:rPr>
      </w:pPr>
      <w:r w:rsidRPr="00855F42">
        <w:rPr>
          <w:lang w:val="en-GB"/>
        </w:rPr>
        <w:t>To develop and produce priority TORs to enable the implementation of the capacity development plan.</w:t>
      </w:r>
    </w:p>
    <w:p w:rsidR="009B738C" w:rsidRPr="00855F42" w:rsidRDefault="009B738C" w:rsidP="009B738C">
      <w:pPr>
        <w:jc w:val="both"/>
        <w:rPr>
          <w:rFonts w:cstheme="minorHAnsi"/>
          <w:b/>
          <w:lang w:val="en-GB"/>
        </w:rPr>
      </w:pPr>
    </w:p>
    <w:p w:rsidR="008D0500" w:rsidRPr="00BF295F" w:rsidRDefault="008D0500" w:rsidP="0005234B">
      <w:pPr>
        <w:spacing w:after="0" w:line="240" w:lineRule="auto"/>
        <w:jc w:val="both"/>
      </w:pPr>
    </w:p>
    <w:p w:rsidR="009402BE" w:rsidRPr="00BF295F" w:rsidRDefault="009402BE" w:rsidP="0005234B">
      <w:pPr>
        <w:spacing w:after="0" w:line="240" w:lineRule="auto"/>
        <w:jc w:val="both"/>
        <w:rPr>
          <w:b/>
        </w:rPr>
      </w:pPr>
      <w:r w:rsidRPr="00BF295F">
        <w:rPr>
          <w:b/>
        </w:rPr>
        <w:t>Methodology</w:t>
      </w:r>
    </w:p>
    <w:p w:rsidR="000A3850" w:rsidRDefault="005C4890" w:rsidP="0005234B">
      <w:pPr>
        <w:spacing w:after="0" w:line="240" w:lineRule="auto"/>
        <w:jc w:val="both"/>
      </w:pPr>
      <w:r w:rsidRPr="00BF295F">
        <w:t xml:space="preserve">The </w:t>
      </w:r>
      <w:r w:rsidR="00A47CE6" w:rsidRPr="00BF295F">
        <w:t xml:space="preserve">mid-term </w:t>
      </w:r>
      <w:r w:rsidR="00AA11AA" w:rsidRPr="00BF295F">
        <w:t>review</w:t>
      </w:r>
      <w:r w:rsidR="0005234B">
        <w:t xml:space="preserve"> sh</w:t>
      </w:r>
      <w:r w:rsidRPr="00BF295F">
        <w:t xml:space="preserve">ould be participatory </w:t>
      </w:r>
      <w:r w:rsidR="008D0500" w:rsidRPr="00BF295F">
        <w:t xml:space="preserve">in nature </w:t>
      </w:r>
      <w:r w:rsidRPr="00BF295F">
        <w:t xml:space="preserve">facilitating </w:t>
      </w:r>
      <w:r w:rsidR="0005234B">
        <w:t xml:space="preserve">the </w:t>
      </w:r>
      <w:r w:rsidRPr="00BF295F">
        <w:t xml:space="preserve">project stakeholders to reflect on </w:t>
      </w:r>
      <w:r w:rsidR="0005234B">
        <w:t xml:space="preserve">the results achieved, </w:t>
      </w:r>
      <w:r w:rsidRPr="00BF295F">
        <w:t xml:space="preserve">lessons </w:t>
      </w:r>
      <w:r w:rsidR="0005234B">
        <w:t xml:space="preserve">learnt </w:t>
      </w:r>
      <w:r w:rsidRPr="00BF295F">
        <w:t xml:space="preserve">and challenges in the operating environment. </w:t>
      </w:r>
      <w:r w:rsidR="008D0500" w:rsidRPr="00BF295F">
        <w:t>B</w:t>
      </w:r>
      <w:r w:rsidRPr="00BF295F">
        <w:t>oth documentary</w:t>
      </w:r>
      <w:r w:rsidR="008D0500" w:rsidRPr="00BF295F">
        <w:t xml:space="preserve">/desk </w:t>
      </w:r>
      <w:r w:rsidRPr="00BF295F">
        <w:t xml:space="preserve">review and analysis, and interviews </w:t>
      </w:r>
      <w:r w:rsidR="009402BE" w:rsidRPr="00BF295F">
        <w:t xml:space="preserve">with key informants who have participated or benefitted from the project to be </w:t>
      </w:r>
      <w:r w:rsidR="00A47CE6" w:rsidRPr="00BF295F">
        <w:t xml:space="preserve">selected </w:t>
      </w:r>
      <w:r w:rsidR="009402BE" w:rsidRPr="00BF295F">
        <w:t xml:space="preserve">from </w:t>
      </w:r>
      <w:r w:rsidR="00125D20">
        <w:t>at n</w:t>
      </w:r>
      <w:r w:rsidR="009402BE" w:rsidRPr="00BF295F">
        <w:t xml:space="preserve">ational, </w:t>
      </w:r>
      <w:r w:rsidR="00125D20">
        <w:t>provincial</w:t>
      </w:r>
      <w:r w:rsidR="00A47CE6" w:rsidRPr="00BF295F">
        <w:t xml:space="preserve"> and district</w:t>
      </w:r>
      <w:r w:rsidR="009402BE" w:rsidRPr="00BF295F">
        <w:t xml:space="preserve"> level</w:t>
      </w:r>
      <w:r w:rsidR="00A47CE6" w:rsidRPr="00BF295F">
        <w:t>s</w:t>
      </w:r>
      <w:r w:rsidRPr="00BF295F">
        <w:t xml:space="preserve">. </w:t>
      </w:r>
    </w:p>
    <w:p w:rsidR="00125D20" w:rsidRPr="00BF295F" w:rsidRDefault="00125D20" w:rsidP="0005234B">
      <w:pPr>
        <w:spacing w:after="0" w:line="240" w:lineRule="auto"/>
        <w:jc w:val="both"/>
      </w:pPr>
    </w:p>
    <w:tbl>
      <w:tblPr>
        <w:tblStyle w:val="TableGrid"/>
        <w:tblW w:w="0" w:type="auto"/>
        <w:tblLook w:val="04A0" w:firstRow="1" w:lastRow="0" w:firstColumn="1" w:lastColumn="0" w:noHBand="0" w:noVBand="1"/>
      </w:tblPr>
      <w:tblGrid>
        <w:gridCol w:w="1951"/>
        <w:gridCol w:w="7291"/>
      </w:tblGrid>
      <w:tr w:rsidR="00040799" w:rsidRPr="00125D20" w:rsidTr="00040799">
        <w:tc>
          <w:tcPr>
            <w:tcW w:w="1951" w:type="dxa"/>
            <w:vMerge w:val="restart"/>
          </w:tcPr>
          <w:p w:rsidR="00040799" w:rsidRPr="00040799" w:rsidRDefault="00040799" w:rsidP="0005234B">
            <w:pPr>
              <w:autoSpaceDE w:val="0"/>
              <w:autoSpaceDN w:val="0"/>
              <w:adjustRightInd w:val="0"/>
              <w:jc w:val="both"/>
              <w:rPr>
                <w:b/>
                <w:bCs/>
                <w:color w:val="000000"/>
                <w:sz w:val="22"/>
                <w:szCs w:val="22"/>
              </w:rPr>
            </w:pPr>
            <w:r w:rsidRPr="00040799">
              <w:rPr>
                <w:b/>
                <w:sz w:val="22"/>
                <w:szCs w:val="22"/>
              </w:rPr>
              <w:t>Data Collection and Management</w:t>
            </w:r>
          </w:p>
        </w:tc>
        <w:tc>
          <w:tcPr>
            <w:tcW w:w="7291" w:type="dxa"/>
          </w:tcPr>
          <w:p w:rsidR="00040799" w:rsidRPr="00040799" w:rsidRDefault="00040799" w:rsidP="0005234B">
            <w:pPr>
              <w:autoSpaceDE w:val="0"/>
              <w:autoSpaceDN w:val="0"/>
              <w:adjustRightInd w:val="0"/>
              <w:jc w:val="both"/>
              <w:rPr>
                <w:sz w:val="22"/>
                <w:szCs w:val="22"/>
              </w:rPr>
            </w:pPr>
            <w:r w:rsidRPr="00040799">
              <w:rPr>
                <w:bCs/>
                <w:color w:val="000000"/>
                <w:sz w:val="22"/>
                <w:szCs w:val="22"/>
              </w:rPr>
              <w:t>K</w:t>
            </w:r>
            <w:r w:rsidR="0005234B">
              <w:rPr>
                <w:bCs/>
                <w:color w:val="000000"/>
                <w:sz w:val="22"/>
                <w:szCs w:val="22"/>
              </w:rPr>
              <w:t>ey Informant interviews with all</w:t>
            </w:r>
            <w:r w:rsidRPr="00040799">
              <w:rPr>
                <w:bCs/>
                <w:color w:val="000000"/>
                <w:sz w:val="22"/>
                <w:szCs w:val="22"/>
              </w:rPr>
              <w:t xml:space="preserve"> stakeholders. </w:t>
            </w:r>
          </w:p>
        </w:tc>
      </w:tr>
      <w:tr w:rsidR="00040799" w:rsidRPr="00125D20" w:rsidTr="00040799">
        <w:tc>
          <w:tcPr>
            <w:tcW w:w="1951" w:type="dxa"/>
            <w:vMerge/>
          </w:tcPr>
          <w:p w:rsidR="00040799" w:rsidRPr="00040799" w:rsidRDefault="00040799" w:rsidP="0005234B">
            <w:pPr>
              <w:autoSpaceDE w:val="0"/>
              <w:autoSpaceDN w:val="0"/>
              <w:adjustRightInd w:val="0"/>
              <w:ind w:left="360"/>
              <w:jc w:val="both"/>
              <w:rPr>
                <w:b/>
                <w:sz w:val="22"/>
                <w:szCs w:val="22"/>
              </w:rPr>
            </w:pPr>
          </w:p>
        </w:tc>
        <w:tc>
          <w:tcPr>
            <w:tcW w:w="7291" w:type="dxa"/>
          </w:tcPr>
          <w:p w:rsidR="00040799" w:rsidRPr="00040799" w:rsidRDefault="00040799" w:rsidP="0005234B">
            <w:pPr>
              <w:autoSpaceDE w:val="0"/>
              <w:autoSpaceDN w:val="0"/>
              <w:adjustRightInd w:val="0"/>
              <w:jc w:val="both"/>
              <w:rPr>
                <w:sz w:val="22"/>
                <w:szCs w:val="22"/>
              </w:rPr>
            </w:pPr>
            <w:r w:rsidRPr="00040799">
              <w:rPr>
                <w:sz w:val="22"/>
                <w:szCs w:val="22"/>
              </w:rPr>
              <w:t>Presentation and Discussions with Implementers</w:t>
            </w:r>
            <w:r w:rsidR="008354F2">
              <w:rPr>
                <w:sz w:val="22"/>
                <w:szCs w:val="22"/>
              </w:rPr>
              <w:t xml:space="preserve"> (workshop and one-on-one)</w:t>
            </w:r>
            <w:r w:rsidR="008354F2" w:rsidRPr="00040799">
              <w:rPr>
                <w:sz w:val="22"/>
                <w:szCs w:val="22"/>
              </w:rPr>
              <w:t>.</w:t>
            </w:r>
          </w:p>
        </w:tc>
      </w:tr>
      <w:tr w:rsidR="00040799" w:rsidRPr="00125D20" w:rsidTr="00040799">
        <w:tc>
          <w:tcPr>
            <w:tcW w:w="1951" w:type="dxa"/>
            <w:vMerge/>
          </w:tcPr>
          <w:p w:rsidR="00040799" w:rsidRPr="00040799" w:rsidRDefault="00040799" w:rsidP="0005234B">
            <w:pPr>
              <w:autoSpaceDE w:val="0"/>
              <w:autoSpaceDN w:val="0"/>
              <w:adjustRightInd w:val="0"/>
              <w:ind w:left="360"/>
              <w:jc w:val="both"/>
              <w:rPr>
                <w:b/>
                <w:bCs/>
                <w:color w:val="000000"/>
                <w:sz w:val="22"/>
                <w:szCs w:val="22"/>
              </w:rPr>
            </w:pPr>
          </w:p>
        </w:tc>
        <w:tc>
          <w:tcPr>
            <w:tcW w:w="7291" w:type="dxa"/>
          </w:tcPr>
          <w:p w:rsidR="00040799" w:rsidRPr="00040799" w:rsidRDefault="00040799" w:rsidP="0005234B">
            <w:pPr>
              <w:autoSpaceDE w:val="0"/>
              <w:autoSpaceDN w:val="0"/>
              <w:adjustRightInd w:val="0"/>
              <w:jc w:val="both"/>
              <w:rPr>
                <w:sz w:val="22"/>
                <w:szCs w:val="22"/>
              </w:rPr>
            </w:pPr>
            <w:r w:rsidRPr="00040799">
              <w:rPr>
                <w:bCs/>
                <w:color w:val="000000"/>
                <w:sz w:val="22"/>
                <w:szCs w:val="22"/>
              </w:rPr>
              <w:t>Documentary Review.</w:t>
            </w:r>
          </w:p>
        </w:tc>
      </w:tr>
      <w:tr w:rsidR="00125D20" w:rsidRPr="00125D20" w:rsidTr="00040799">
        <w:tc>
          <w:tcPr>
            <w:tcW w:w="1951" w:type="dxa"/>
            <w:vMerge w:val="restart"/>
          </w:tcPr>
          <w:p w:rsidR="00125D20" w:rsidRPr="00040799" w:rsidRDefault="00125D20" w:rsidP="0005234B">
            <w:pPr>
              <w:autoSpaceDE w:val="0"/>
              <w:autoSpaceDN w:val="0"/>
              <w:adjustRightInd w:val="0"/>
              <w:jc w:val="both"/>
              <w:rPr>
                <w:sz w:val="22"/>
                <w:szCs w:val="22"/>
              </w:rPr>
            </w:pPr>
            <w:r w:rsidRPr="00040799">
              <w:rPr>
                <w:b/>
                <w:sz w:val="22"/>
                <w:szCs w:val="22"/>
              </w:rPr>
              <w:t>Sampling Strategy and Sample Size</w:t>
            </w:r>
          </w:p>
        </w:tc>
        <w:tc>
          <w:tcPr>
            <w:tcW w:w="7291" w:type="dxa"/>
          </w:tcPr>
          <w:p w:rsidR="00125D20" w:rsidRPr="00040799" w:rsidRDefault="00125D20" w:rsidP="0005234B">
            <w:pPr>
              <w:jc w:val="both"/>
              <w:rPr>
                <w:sz w:val="22"/>
                <w:szCs w:val="22"/>
              </w:rPr>
            </w:pPr>
            <w:r w:rsidRPr="00040799">
              <w:rPr>
                <w:sz w:val="22"/>
                <w:szCs w:val="22"/>
              </w:rPr>
              <w:t xml:space="preserve">National stakeholders </w:t>
            </w:r>
            <w:r w:rsidR="00040799" w:rsidRPr="00040799">
              <w:rPr>
                <w:sz w:val="22"/>
                <w:szCs w:val="22"/>
              </w:rPr>
              <w:t>(donors, other implementers, etc)</w:t>
            </w:r>
          </w:p>
        </w:tc>
      </w:tr>
      <w:tr w:rsidR="00040799" w:rsidRPr="00125D20" w:rsidTr="00040799">
        <w:tc>
          <w:tcPr>
            <w:tcW w:w="1951" w:type="dxa"/>
            <w:vMerge/>
          </w:tcPr>
          <w:p w:rsidR="00040799" w:rsidRPr="00040799" w:rsidRDefault="00040799" w:rsidP="0005234B">
            <w:pPr>
              <w:jc w:val="both"/>
              <w:rPr>
                <w:sz w:val="22"/>
                <w:szCs w:val="22"/>
              </w:rPr>
            </w:pPr>
          </w:p>
        </w:tc>
        <w:tc>
          <w:tcPr>
            <w:tcW w:w="7291" w:type="dxa"/>
          </w:tcPr>
          <w:p w:rsidR="00040799" w:rsidRPr="00040799" w:rsidRDefault="00040799" w:rsidP="0005234B">
            <w:pPr>
              <w:jc w:val="both"/>
              <w:rPr>
                <w:sz w:val="22"/>
                <w:szCs w:val="22"/>
              </w:rPr>
            </w:pPr>
            <w:r w:rsidRPr="00040799">
              <w:rPr>
                <w:sz w:val="22"/>
                <w:szCs w:val="22"/>
              </w:rPr>
              <w:t>Implementers from National level…</w:t>
            </w:r>
          </w:p>
        </w:tc>
      </w:tr>
      <w:tr w:rsidR="00125D20" w:rsidRPr="00125D20" w:rsidTr="00040799">
        <w:tc>
          <w:tcPr>
            <w:tcW w:w="1951" w:type="dxa"/>
            <w:vMerge/>
          </w:tcPr>
          <w:p w:rsidR="00125D20" w:rsidRPr="00040799" w:rsidRDefault="00125D20" w:rsidP="0005234B">
            <w:pPr>
              <w:jc w:val="both"/>
              <w:rPr>
                <w:sz w:val="22"/>
                <w:szCs w:val="22"/>
              </w:rPr>
            </w:pPr>
          </w:p>
        </w:tc>
        <w:tc>
          <w:tcPr>
            <w:tcW w:w="7291" w:type="dxa"/>
          </w:tcPr>
          <w:p w:rsidR="00125D20" w:rsidRPr="00040799" w:rsidRDefault="00125D20" w:rsidP="0005234B">
            <w:pPr>
              <w:jc w:val="both"/>
              <w:rPr>
                <w:sz w:val="22"/>
                <w:szCs w:val="22"/>
              </w:rPr>
            </w:pPr>
            <w:r w:rsidRPr="00040799">
              <w:rPr>
                <w:sz w:val="22"/>
                <w:szCs w:val="22"/>
              </w:rPr>
              <w:t>Provinces….</w:t>
            </w:r>
          </w:p>
        </w:tc>
      </w:tr>
      <w:tr w:rsidR="00125D20" w:rsidRPr="00125D20" w:rsidTr="00040799">
        <w:tc>
          <w:tcPr>
            <w:tcW w:w="1951" w:type="dxa"/>
            <w:vMerge/>
          </w:tcPr>
          <w:p w:rsidR="00125D20" w:rsidRPr="00040799" w:rsidRDefault="00125D20" w:rsidP="0005234B">
            <w:pPr>
              <w:jc w:val="both"/>
              <w:rPr>
                <w:sz w:val="22"/>
                <w:szCs w:val="22"/>
              </w:rPr>
            </w:pPr>
          </w:p>
        </w:tc>
        <w:tc>
          <w:tcPr>
            <w:tcW w:w="7291" w:type="dxa"/>
          </w:tcPr>
          <w:p w:rsidR="00125D20" w:rsidRPr="00040799" w:rsidRDefault="00125D20" w:rsidP="0005234B">
            <w:pPr>
              <w:jc w:val="both"/>
              <w:rPr>
                <w:sz w:val="22"/>
                <w:szCs w:val="22"/>
              </w:rPr>
            </w:pPr>
            <w:r w:rsidRPr="00040799">
              <w:rPr>
                <w:sz w:val="22"/>
                <w:szCs w:val="22"/>
              </w:rPr>
              <w:t>Districts….</w:t>
            </w:r>
          </w:p>
        </w:tc>
      </w:tr>
      <w:tr w:rsidR="00040799" w:rsidRPr="00125D20" w:rsidTr="00040799">
        <w:tc>
          <w:tcPr>
            <w:tcW w:w="1951" w:type="dxa"/>
            <w:vMerge w:val="restart"/>
          </w:tcPr>
          <w:p w:rsidR="00040799" w:rsidRPr="00040799" w:rsidRDefault="00040799" w:rsidP="0005234B">
            <w:pPr>
              <w:jc w:val="both"/>
              <w:rPr>
                <w:sz w:val="22"/>
                <w:szCs w:val="22"/>
              </w:rPr>
            </w:pPr>
            <w:r w:rsidRPr="00040799">
              <w:rPr>
                <w:b/>
                <w:sz w:val="22"/>
                <w:szCs w:val="22"/>
              </w:rPr>
              <w:t>Relevant project documents to be reviewed</w:t>
            </w:r>
          </w:p>
        </w:tc>
        <w:tc>
          <w:tcPr>
            <w:tcW w:w="7291" w:type="dxa"/>
          </w:tcPr>
          <w:p w:rsidR="00040799" w:rsidRPr="00040799" w:rsidRDefault="00040799" w:rsidP="0005234B">
            <w:pPr>
              <w:jc w:val="both"/>
              <w:rPr>
                <w:sz w:val="22"/>
                <w:szCs w:val="22"/>
              </w:rPr>
            </w:pPr>
            <w:r w:rsidRPr="00040799">
              <w:rPr>
                <w:sz w:val="22"/>
                <w:szCs w:val="22"/>
              </w:rPr>
              <w:t>Capacity Development Plan narrative.</w:t>
            </w:r>
          </w:p>
        </w:tc>
      </w:tr>
      <w:tr w:rsidR="00040799" w:rsidRPr="00125D20" w:rsidTr="00040799">
        <w:tc>
          <w:tcPr>
            <w:tcW w:w="1951" w:type="dxa"/>
            <w:vMerge/>
          </w:tcPr>
          <w:p w:rsidR="00040799" w:rsidRPr="00040799" w:rsidRDefault="00040799" w:rsidP="0005234B">
            <w:pPr>
              <w:ind w:left="450"/>
              <w:jc w:val="both"/>
              <w:rPr>
                <w:sz w:val="22"/>
                <w:szCs w:val="22"/>
              </w:rPr>
            </w:pPr>
          </w:p>
        </w:tc>
        <w:tc>
          <w:tcPr>
            <w:tcW w:w="7291" w:type="dxa"/>
          </w:tcPr>
          <w:p w:rsidR="00040799" w:rsidRPr="00040799" w:rsidRDefault="00040799" w:rsidP="0005234B">
            <w:pPr>
              <w:jc w:val="both"/>
              <w:rPr>
                <w:sz w:val="22"/>
                <w:szCs w:val="22"/>
              </w:rPr>
            </w:pPr>
            <w:r w:rsidRPr="00040799">
              <w:rPr>
                <w:sz w:val="22"/>
                <w:szCs w:val="22"/>
              </w:rPr>
              <w:t>Detailed Capacity Development Implementation Plan</w:t>
            </w:r>
          </w:p>
        </w:tc>
      </w:tr>
      <w:tr w:rsidR="00040799" w:rsidRPr="00125D20" w:rsidTr="00040799">
        <w:tc>
          <w:tcPr>
            <w:tcW w:w="1951" w:type="dxa"/>
            <w:vMerge/>
          </w:tcPr>
          <w:p w:rsidR="00040799" w:rsidRPr="00040799" w:rsidRDefault="00040799" w:rsidP="0005234B">
            <w:pPr>
              <w:ind w:left="450"/>
              <w:jc w:val="both"/>
              <w:rPr>
                <w:sz w:val="22"/>
                <w:szCs w:val="22"/>
              </w:rPr>
            </w:pPr>
          </w:p>
        </w:tc>
        <w:tc>
          <w:tcPr>
            <w:tcW w:w="7291" w:type="dxa"/>
            <w:tcBorders>
              <w:bottom w:val="single" w:sz="4" w:space="0" w:color="auto"/>
            </w:tcBorders>
          </w:tcPr>
          <w:p w:rsidR="00040799" w:rsidRPr="00040799" w:rsidRDefault="00040799" w:rsidP="0005234B">
            <w:pPr>
              <w:jc w:val="both"/>
              <w:rPr>
                <w:sz w:val="22"/>
                <w:szCs w:val="22"/>
              </w:rPr>
            </w:pPr>
            <w:r w:rsidRPr="00040799">
              <w:rPr>
                <w:sz w:val="22"/>
                <w:szCs w:val="22"/>
              </w:rPr>
              <w:t xml:space="preserve">Reports: </w:t>
            </w:r>
            <w:r w:rsidRPr="00040799">
              <w:rPr>
                <w:sz w:val="22"/>
                <w:szCs w:val="22"/>
              </w:rPr>
              <w:tab/>
              <w:t>Quarterly reports</w:t>
            </w:r>
          </w:p>
          <w:p w:rsidR="00040799" w:rsidRPr="00040799" w:rsidRDefault="00040799" w:rsidP="0005234B">
            <w:pPr>
              <w:jc w:val="both"/>
              <w:rPr>
                <w:sz w:val="22"/>
                <w:szCs w:val="22"/>
              </w:rPr>
            </w:pPr>
            <w:r w:rsidRPr="00040799">
              <w:rPr>
                <w:sz w:val="22"/>
                <w:szCs w:val="22"/>
              </w:rPr>
              <w:tab/>
            </w:r>
            <w:r w:rsidRPr="00040799">
              <w:rPr>
                <w:sz w:val="22"/>
                <w:szCs w:val="22"/>
              </w:rPr>
              <w:tab/>
              <w:t>Annual reports</w:t>
            </w:r>
          </w:p>
          <w:p w:rsidR="00040799" w:rsidRPr="00040799" w:rsidRDefault="00040799" w:rsidP="0005234B">
            <w:pPr>
              <w:jc w:val="both"/>
              <w:rPr>
                <w:sz w:val="22"/>
                <w:szCs w:val="22"/>
              </w:rPr>
            </w:pPr>
            <w:r w:rsidRPr="00040799">
              <w:rPr>
                <w:sz w:val="22"/>
                <w:szCs w:val="22"/>
              </w:rPr>
              <w:tab/>
            </w:r>
            <w:r w:rsidR="009B738C">
              <w:rPr>
                <w:sz w:val="22"/>
                <w:szCs w:val="22"/>
              </w:rPr>
              <w:tab/>
            </w:r>
            <w:r w:rsidRPr="00040799">
              <w:rPr>
                <w:sz w:val="22"/>
                <w:szCs w:val="22"/>
              </w:rPr>
              <w:t xml:space="preserve">Activity reports e.g. training reports, field visit reports, </w:t>
            </w:r>
          </w:p>
        </w:tc>
      </w:tr>
    </w:tbl>
    <w:p w:rsidR="00BF295F" w:rsidRDefault="00BF295F" w:rsidP="0005234B">
      <w:pPr>
        <w:pStyle w:val="ListParagraph"/>
        <w:spacing w:after="0" w:line="240" w:lineRule="auto"/>
        <w:ind w:left="1440"/>
        <w:jc w:val="both"/>
      </w:pPr>
    </w:p>
    <w:p w:rsidR="00125D20" w:rsidRPr="00BF295F" w:rsidRDefault="00125D20" w:rsidP="0005234B">
      <w:pPr>
        <w:pStyle w:val="ListParagraph"/>
        <w:spacing w:after="0" w:line="240" w:lineRule="auto"/>
        <w:ind w:left="1440"/>
        <w:jc w:val="both"/>
      </w:pPr>
    </w:p>
    <w:p w:rsidR="00125D20" w:rsidRPr="00951A6E" w:rsidRDefault="00125D20" w:rsidP="0005234B">
      <w:pPr>
        <w:spacing w:after="0" w:line="240" w:lineRule="auto"/>
        <w:jc w:val="both"/>
        <w:rPr>
          <w:rFonts w:cstheme="minorHAnsi"/>
        </w:rPr>
      </w:pPr>
      <w:r w:rsidRPr="00951A6E">
        <w:rPr>
          <w:rFonts w:cstheme="minorHAnsi"/>
          <w:b/>
        </w:rPr>
        <w:t>Expected Deliverables</w:t>
      </w:r>
      <w:r w:rsidRPr="00951A6E">
        <w:rPr>
          <w:rFonts w:cstheme="minorHAnsi"/>
        </w:rPr>
        <w:t xml:space="preserve">: </w:t>
      </w:r>
    </w:p>
    <w:p w:rsidR="006659AB" w:rsidRPr="00BF295F" w:rsidRDefault="009B738C" w:rsidP="0005234B">
      <w:pPr>
        <w:pStyle w:val="ListParagraph"/>
        <w:numPr>
          <w:ilvl w:val="0"/>
          <w:numId w:val="36"/>
        </w:numPr>
        <w:spacing w:after="0" w:line="240" w:lineRule="auto"/>
        <w:jc w:val="both"/>
      </w:pPr>
      <w:r>
        <w:t>Presentation on the initial f</w:t>
      </w:r>
      <w:r w:rsidR="006659AB" w:rsidRPr="00BF295F">
        <w:t xml:space="preserve">indings presented </w:t>
      </w:r>
      <w:r w:rsidR="00522B79" w:rsidRPr="00BF295F">
        <w:t xml:space="preserve">in a power point </w:t>
      </w:r>
      <w:r w:rsidR="005913F2" w:rsidRPr="00BF295F">
        <w:t>at</w:t>
      </w:r>
      <w:r w:rsidR="00125D20">
        <w:t xml:space="preserve"> the end of the </w:t>
      </w:r>
      <w:r w:rsidR="006659AB" w:rsidRPr="00BF295F">
        <w:t>m</w:t>
      </w:r>
      <w:r w:rsidR="003E271D" w:rsidRPr="00BF295F">
        <w:t xml:space="preserve">ission. </w:t>
      </w:r>
    </w:p>
    <w:p w:rsidR="009B738C" w:rsidRPr="00855F42" w:rsidRDefault="009B738C" w:rsidP="009B738C">
      <w:pPr>
        <w:pStyle w:val="ListParagraph"/>
        <w:numPr>
          <w:ilvl w:val="0"/>
          <w:numId w:val="36"/>
        </w:numPr>
        <w:spacing w:after="0" w:line="240" w:lineRule="auto"/>
        <w:jc w:val="both"/>
        <w:rPr>
          <w:lang w:val="en-GB"/>
        </w:rPr>
      </w:pPr>
      <w:r>
        <w:rPr>
          <w:lang w:val="en-GB"/>
        </w:rPr>
        <w:t xml:space="preserve">Revised </w:t>
      </w:r>
      <w:r w:rsidRPr="00855F42">
        <w:rPr>
          <w:lang w:val="en-GB"/>
        </w:rPr>
        <w:t xml:space="preserve">Capacity Development Plan with activities, time lines, budget and </w:t>
      </w:r>
      <w:r>
        <w:rPr>
          <w:lang w:val="en-GB"/>
        </w:rPr>
        <w:t>outputs</w:t>
      </w:r>
      <w:r w:rsidRPr="00855F42">
        <w:rPr>
          <w:lang w:val="en-GB"/>
        </w:rPr>
        <w:t>.</w:t>
      </w:r>
    </w:p>
    <w:p w:rsidR="009B738C" w:rsidRDefault="009B738C" w:rsidP="009B738C">
      <w:pPr>
        <w:pStyle w:val="ListParagraph"/>
        <w:numPr>
          <w:ilvl w:val="0"/>
          <w:numId w:val="36"/>
        </w:numPr>
        <w:spacing w:after="0" w:line="240" w:lineRule="auto"/>
        <w:jc w:val="both"/>
      </w:pPr>
      <w:r>
        <w:t xml:space="preserve">Full report on the findings of the review. </w:t>
      </w:r>
    </w:p>
    <w:p w:rsidR="00125D20" w:rsidRDefault="00125D20" w:rsidP="0005234B">
      <w:pPr>
        <w:spacing w:after="0" w:line="240" w:lineRule="auto"/>
        <w:jc w:val="both"/>
        <w:rPr>
          <w:rFonts w:cstheme="minorHAnsi"/>
          <w:b/>
        </w:rPr>
      </w:pPr>
    </w:p>
    <w:p w:rsidR="009B738C" w:rsidRDefault="009B738C" w:rsidP="0005234B">
      <w:pPr>
        <w:spacing w:after="0" w:line="240" w:lineRule="auto"/>
        <w:jc w:val="both"/>
        <w:rPr>
          <w:rFonts w:cstheme="minorHAnsi"/>
          <w:b/>
        </w:rPr>
      </w:pPr>
    </w:p>
    <w:p w:rsidR="009B738C" w:rsidRPr="00951A6E" w:rsidRDefault="009B738C" w:rsidP="009B738C">
      <w:pPr>
        <w:spacing w:after="0" w:line="240" w:lineRule="auto"/>
        <w:jc w:val="both"/>
        <w:rPr>
          <w:rFonts w:cstheme="minorHAnsi"/>
          <w:lang w:val="en-GB"/>
        </w:rPr>
      </w:pPr>
      <w:r w:rsidRPr="00951A6E">
        <w:rPr>
          <w:rFonts w:cstheme="minorHAnsi"/>
          <w:b/>
          <w:lang w:val="en-GB"/>
        </w:rPr>
        <w:t>Reporting:</w:t>
      </w:r>
      <w:r w:rsidRPr="00951A6E">
        <w:rPr>
          <w:rFonts w:cstheme="minorHAnsi"/>
          <w:lang w:val="en-GB"/>
        </w:rPr>
        <w:t xml:space="preserve"> </w:t>
      </w:r>
      <w:r w:rsidRPr="00951A6E">
        <w:rPr>
          <w:rFonts w:cstheme="minorHAnsi"/>
          <w:lang w:val="en-GB"/>
        </w:rPr>
        <w:tab/>
        <w:t xml:space="preserve">The consultant shall report to </w:t>
      </w:r>
      <w:r w:rsidRPr="00951A6E">
        <w:rPr>
          <w:rFonts w:cstheme="minorHAnsi"/>
          <w:i/>
          <w:highlight w:val="yellow"/>
          <w:lang w:val="en-GB"/>
        </w:rPr>
        <w:t>XXXX.</w:t>
      </w:r>
    </w:p>
    <w:p w:rsidR="009B738C" w:rsidRPr="00951A6E" w:rsidRDefault="009B738C" w:rsidP="009B738C">
      <w:pPr>
        <w:spacing w:after="0" w:line="240" w:lineRule="auto"/>
        <w:ind w:left="720" w:firstLine="720"/>
        <w:jc w:val="both"/>
        <w:rPr>
          <w:rFonts w:cstheme="minorHAnsi"/>
          <w:lang w:val="en-GB"/>
        </w:rPr>
      </w:pPr>
      <w:r w:rsidRPr="00951A6E">
        <w:rPr>
          <w:rFonts w:cstheme="minorHAnsi"/>
          <w:lang w:val="en-GB"/>
        </w:rPr>
        <w:t xml:space="preserve">All expected deliverables will be submitted to </w:t>
      </w:r>
      <w:r w:rsidRPr="00951A6E">
        <w:rPr>
          <w:rFonts w:cstheme="minorHAnsi"/>
          <w:i/>
          <w:highlight w:val="yellow"/>
          <w:lang w:val="en-GB"/>
        </w:rPr>
        <w:t>XXXX</w:t>
      </w:r>
      <w:r w:rsidRPr="00951A6E">
        <w:rPr>
          <w:rFonts w:cstheme="minorHAnsi"/>
          <w:lang w:val="en-GB"/>
        </w:rPr>
        <w:t xml:space="preserve"> for final approval.</w:t>
      </w:r>
    </w:p>
    <w:p w:rsidR="009B738C" w:rsidRDefault="009B738C" w:rsidP="0005234B">
      <w:pPr>
        <w:spacing w:after="0" w:line="240" w:lineRule="auto"/>
        <w:jc w:val="both"/>
        <w:rPr>
          <w:rFonts w:cstheme="minorHAnsi"/>
          <w:b/>
        </w:rPr>
      </w:pPr>
    </w:p>
    <w:p w:rsidR="00125D20" w:rsidRPr="00951A6E" w:rsidRDefault="00125D20" w:rsidP="0005234B">
      <w:pPr>
        <w:spacing w:after="0" w:line="240" w:lineRule="auto"/>
        <w:jc w:val="both"/>
        <w:rPr>
          <w:rFonts w:cstheme="minorHAnsi"/>
          <w:b/>
        </w:rPr>
      </w:pPr>
    </w:p>
    <w:p w:rsidR="00125D20" w:rsidRPr="00951A6E" w:rsidRDefault="00125D20" w:rsidP="0005234B">
      <w:pPr>
        <w:spacing w:after="0" w:line="240" w:lineRule="auto"/>
        <w:jc w:val="both"/>
        <w:rPr>
          <w:rFonts w:cstheme="minorHAnsi"/>
          <w:b/>
        </w:rPr>
      </w:pPr>
      <w:r w:rsidRPr="00951A6E">
        <w:rPr>
          <w:rFonts w:cstheme="minorHAnsi"/>
          <w:b/>
        </w:rPr>
        <w:t>Summary of Activities</w:t>
      </w:r>
    </w:p>
    <w:p w:rsidR="00125D20" w:rsidRPr="00951A6E" w:rsidRDefault="00125D20" w:rsidP="0005234B">
      <w:pPr>
        <w:spacing w:after="0" w:line="240" w:lineRule="auto"/>
        <w:jc w:val="both"/>
      </w:pPr>
    </w:p>
    <w:tbl>
      <w:tblPr>
        <w:tblStyle w:val="TableGrid"/>
        <w:tblW w:w="0" w:type="auto"/>
        <w:tblInd w:w="360" w:type="dxa"/>
        <w:tblLook w:val="04A0" w:firstRow="1" w:lastRow="0" w:firstColumn="1" w:lastColumn="0" w:noHBand="0" w:noVBand="1"/>
      </w:tblPr>
      <w:tblGrid>
        <w:gridCol w:w="4426"/>
        <w:gridCol w:w="1701"/>
      </w:tblGrid>
      <w:tr w:rsidR="00125D20" w:rsidRPr="00951A6E" w:rsidTr="00125D20">
        <w:tc>
          <w:tcPr>
            <w:tcW w:w="4426" w:type="dxa"/>
          </w:tcPr>
          <w:p w:rsidR="00125D20" w:rsidRPr="00951A6E" w:rsidRDefault="00125D20" w:rsidP="0005234B">
            <w:pPr>
              <w:jc w:val="both"/>
              <w:rPr>
                <w:b/>
                <w:sz w:val="22"/>
                <w:szCs w:val="22"/>
              </w:rPr>
            </w:pPr>
            <w:r w:rsidRPr="00951A6E">
              <w:rPr>
                <w:b/>
                <w:sz w:val="22"/>
                <w:szCs w:val="22"/>
              </w:rPr>
              <w:t>Activities</w:t>
            </w:r>
          </w:p>
        </w:tc>
        <w:tc>
          <w:tcPr>
            <w:tcW w:w="1701" w:type="dxa"/>
          </w:tcPr>
          <w:p w:rsidR="00125D20" w:rsidRPr="00951A6E" w:rsidRDefault="00125D20" w:rsidP="0005234B">
            <w:pPr>
              <w:jc w:val="both"/>
              <w:rPr>
                <w:b/>
                <w:sz w:val="22"/>
                <w:szCs w:val="22"/>
              </w:rPr>
            </w:pPr>
            <w:r w:rsidRPr="00951A6E">
              <w:rPr>
                <w:b/>
                <w:sz w:val="22"/>
                <w:szCs w:val="22"/>
              </w:rPr>
              <w:t>Number of Days</w:t>
            </w:r>
          </w:p>
        </w:tc>
      </w:tr>
      <w:tr w:rsidR="00125D20" w:rsidRPr="00951A6E" w:rsidTr="00125D20">
        <w:tc>
          <w:tcPr>
            <w:tcW w:w="4426" w:type="dxa"/>
          </w:tcPr>
          <w:p w:rsidR="00125D20" w:rsidRPr="00951A6E" w:rsidRDefault="00125D20" w:rsidP="0005234B">
            <w:pPr>
              <w:jc w:val="both"/>
              <w:rPr>
                <w:sz w:val="22"/>
                <w:szCs w:val="22"/>
              </w:rPr>
            </w:pPr>
            <w:r w:rsidRPr="00951A6E">
              <w:rPr>
                <w:sz w:val="22"/>
                <w:szCs w:val="22"/>
              </w:rPr>
              <w:t>Country level Capacity Development Support</w:t>
            </w:r>
          </w:p>
        </w:tc>
        <w:tc>
          <w:tcPr>
            <w:tcW w:w="1701" w:type="dxa"/>
          </w:tcPr>
          <w:p w:rsidR="00125D20" w:rsidRPr="00951A6E" w:rsidRDefault="00125D20" w:rsidP="0005234B">
            <w:pPr>
              <w:jc w:val="both"/>
              <w:rPr>
                <w:sz w:val="22"/>
                <w:szCs w:val="22"/>
              </w:rPr>
            </w:pPr>
          </w:p>
        </w:tc>
      </w:tr>
      <w:tr w:rsidR="00125D20" w:rsidRPr="00951A6E" w:rsidTr="00125D20">
        <w:tc>
          <w:tcPr>
            <w:tcW w:w="4426" w:type="dxa"/>
          </w:tcPr>
          <w:p w:rsidR="00125D20" w:rsidRPr="00951A6E" w:rsidRDefault="00125D20" w:rsidP="0005234B">
            <w:pPr>
              <w:jc w:val="both"/>
              <w:rPr>
                <w:sz w:val="22"/>
                <w:szCs w:val="22"/>
              </w:rPr>
            </w:pPr>
            <w:r w:rsidRPr="00951A6E">
              <w:rPr>
                <w:sz w:val="22"/>
                <w:szCs w:val="22"/>
              </w:rPr>
              <w:t>Home Based Support</w:t>
            </w:r>
          </w:p>
        </w:tc>
        <w:tc>
          <w:tcPr>
            <w:tcW w:w="1701" w:type="dxa"/>
          </w:tcPr>
          <w:p w:rsidR="00125D20" w:rsidRPr="00951A6E" w:rsidRDefault="00125D20" w:rsidP="0005234B">
            <w:pPr>
              <w:jc w:val="both"/>
              <w:rPr>
                <w:sz w:val="22"/>
                <w:szCs w:val="22"/>
              </w:rPr>
            </w:pPr>
          </w:p>
        </w:tc>
      </w:tr>
      <w:tr w:rsidR="00125D20" w:rsidRPr="00951A6E" w:rsidTr="00125D20">
        <w:tc>
          <w:tcPr>
            <w:tcW w:w="4426" w:type="dxa"/>
          </w:tcPr>
          <w:p w:rsidR="00125D20" w:rsidRPr="00951A6E" w:rsidRDefault="00125D20" w:rsidP="0005234B">
            <w:pPr>
              <w:jc w:val="both"/>
              <w:rPr>
                <w:b/>
                <w:sz w:val="22"/>
                <w:szCs w:val="22"/>
              </w:rPr>
            </w:pPr>
            <w:r w:rsidRPr="00951A6E">
              <w:rPr>
                <w:b/>
                <w:sz w:val="22"/>
                <w:szCs w:val="22"/>
              </w:rPr>
              <w:t>Total</w:t>
            </w:r>
          </w:p>
        </w:tc>
        <w:tc>
          <w:tcPr>
            <w:tcW w:w="1701" w:type="dxa"/>
          </w:tcPr>
          <w:p w:rsidR="00125D20" w:rsidRPr="00951A6E" w:rsidRDefault="00125D20" w:rsidP="0005234B">
            <w:pPr>
              <w:jc w:val="both"/>
              <w:rPr>
                <w:b/>
                <w:sz w:val="22"/>
                <w:szCs w:val="22"/>
              </w:rPr>
            </w:pPr>
          </w:p>
        </w:tc>
      </w:tr>
    </w:tbl>
    <w:p w:rsidR="00125D20" w:rsidRPr="00951A6E" w:rsidRDefault="00125D20" w:rsidP="0005234B">
      <w:pPr>
        <w:spacing w:after="0" w:line="240" w:lineRule="auto"/>
        <w:jc w:val="both"/>
      </w:pPr>
    </w:p>
    <w:p w:rsidR="00125D20" w:rsidRPr="00951A6E" w:rsidRDefault="00125D20" w:rsidP="0005234B">
      <w:pPr>
        <w:spacing w:after="0" w:line="240" w:lineRule="auto"/>
        <w:jc w:val="both"/>
        <w:rPr>
          <w:rFonts w:cstheme="minorHAnsi"/>
          <w:b/>
          <w:lang w:val="en-GB"/>
        </w:rPr>
      </w:pPr>
    </w:p>
    <w:p w:rsidR="00125D20" w:rsidRPr="00951A6E" w:rsidRDefault="00125D20" w:rsidP="0005234B">
      <w:pPr>
        <w:spacing w:after="0" w:line="240" w:lineRule="auto"/>
        <w:jc w:val="both"/>
        <w:rPr>
          <w:rFonts w:eastAsia="Times New Roman" w:cstheme="minorHAnsi"/>
          <w:b/>
          <w:bCs/>
          <w:u w:val="single"/>
        </w:rPr>
      </w:pPr>
    </w:p>
    <w:p w:rsidR="00503F21" w:rsidRDefault="00503F21" w:rsidP="0005234B">
      <w:pPr>
        <w:spacing w:after="0" w:line="240" w:lineRule="auto"/>
        <w:jc w:val="both"/>
        <w:rPr>
          <w:rFonts w:eastAsia="Times New Roman" w:cstheme="minorHAnsi"/>
          <w:b/>
          <w:bCs/>
          <w:u w:val="single"/>
        </w:rPr>
      </w:pPr>
    </w:p>
    <w:p w:rsidR="00503F21" w:rsidRDefault="00503F21" w:rsidP="0005234B">
      <w:pPr>
        <w:spacing w:after="0" w:line="240" w:lineRule="auto"/>
        <w:jc w:val="both"/>
        <w:rPr>
          <w:rFonts w:eastAsia="Times New Roman" w:cstheme="minorHAnsi"/>
          <w:b/>
          <w:bCs/>
          <w:u w:val="single"/>
        </w:rPr>
      </w:pPr>
    </w:p>
    <w:p w:rsidR="00503F21" w:rsidRDefault="00503F21" w:rsidP="0005234B">
      <w:pPr>
        <w:spacing w:after="0" w:line="240" w:lineRule="auto"/>
        <w:jc w:val="both"/>
        <w:rPr>
          <w:rFonts w:eastAsia="Times New Roman" w:cstheme="minorHAnsi"/>
          <w:b/>
          <w:bCs/>
          <w:u w:val="single"/>
        </w:rPr>
      </w:pPr>
    </w:p>
    <w:p w:rsidR="00125D20" w:rsidRPr="00951A6E" w:rsidRDefault="00125D20" w:rsidP="0005234B">
      <w:pPr>
        <w:spacing w:after="0" w:line="240" w:lineRule="auto"/>
        <w:jc w:val="both"/>
        <w:rPr>
          <w:rFonts w:eastAsia="Times New Roman" w:cstheme="minorHAnsi"/>
          <w:b/>
          <w:bCs/>
          <w:u w:val="single"/>
        </w:rPr>
      </w:pPr>
      <w:bookmarkStart w:id="0" w:name="_GoBack"/>
      <w:bookmarkEnd w:id="0"/>
      <w:r w:rsidRPr="00951A6E">
        <w:rPr>
          <w:rFonts w:eastAsia="Times New Roman" w:cstheme="minorHAnsi"/>
          <w:b/>
          <w:bCs/>
          <w:u w:val="single"/>
        </w:rPr>
        <w:lastRenderedPageBreak/>
        <w:t>Competencies:</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Corporate:</w:t>
      </w:r>
    </w:p>
    <w:p w:rsidR="00125D20" w:rsidRPr="00951A6E" w:rsidRDefault="00125D20" w:rsidP="0005234B">
      <w:pPr>
        <w:numPr>
          <w:ilvl w:val="0"/>
          <w:numId w:val="45"/>
        </w:numPr>
        <w:tabs>
          <w:tab w:val="clear" w:pos="720"/>
          <w:tab w:val="num" w:pos="360"/>
        </w:tabs>
        <w:spacing w:after="0" w:line="240" w:lineRule="auto"/>
        <w:ind w:left="360"/>
        <w:jc w:val="both"/>
        <w:rPr>
          <w:rFonts w:eastAsia="Times New Roman" w:cstheme="minorHAnsi"/>
        </w:rPr>
      </w:pPr>
      <w:r w:rsidRPr="00951A6E">
        <w:rPr>
          <w:rFonts w:eastAsia="Times New Roman" w:cstheme="minorHAnsi"/>
        </w:rPr>
        <w:t xml:space="preserve">Demonstrates integrity by modeling the UN’s values and ethical standards.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Promotes the vision, mission, and strategic goals of UNDP.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Displays cultural, gender, religion, race, nationality and age sensitivity and adaptability.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Functional:</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Strong analytical, negotiation and communication skills, including ability to produce high quality practical advisory reports and knowledge products,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Professional and/or academic experience in one or more of the areas of international development, public health or related field.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Project and Resource Management:</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Ability to produce high quality outputs in a timely manner while understanding and anticipating the evolving client needs.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Strong organizational skills.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Ability to work independently, produce high quality outputs.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Communications and Advocacy</w:t>
      </w:r>
      <w:r w:rsidRPr="00951A6E">
        <w:rPr>
          <w:rFonts w:eastAsia="Times New Roman" w:cstheme="minorHAnsi"/>
        </w:rPr>
        <w:t>:</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Strong ability to write clearly and convincingly, adapting style and content to different audiences and speak clearly and convincingly. </w:t>
      </w:r>
    </w:p>
    <w:p w:rsidR="00125D20" w:rsidRPr="00951A6E"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 xml:space="preserve">Strong analytical, research and writing skills with demonstrated ability to think strategically. </w:t>
      </w:r>
    </w:p>
    <w:p w:rsidR="00125D20" w:rsidRPr="00951A6E" w:rsidRDefault="00125D20" w:rsidP="0005234B">
      <w:pPr>
        <w:numPr>
          <w:ilvl w:val="0"/>
          <w:numId w:val="45"/>
        </w:numPr>
        <w:spacing w:after="0" w:line="240" w:lineRule="auto"/>
        <w:ind w:left="360"/>
        <w:jc w:val="both"/>
        <w:rPr>
          <w:rFonts w:eastAsia="Times New Roman" w:cstheme="minorHAnsi"/>
          <w:color w:val="333333"/>
        </w:rPr>
      </w:pPr>
      <w:r w:rsidRPr="00951A6E">
        <w:rPr>
          <w:rFonts w:eastAsia="Times New Roman" w:cstheme="minorHAnsi"/>
        </w:rPr>
        <w:t>Strong inter-personal, negotiation and liaison skills.</w:t>
      </w:r>
    </w:p>
    <w:p w:rsidR="00125D20" w:rsidRDefault="00125D20" w:rsidP="0005234B">
      <w:pPr>
        <w:spacing w:after="0" w:line="240" w:lineRule="auto"/>
        <w:jc w:val="both"/>
        <w:rPr>
          <w:rFonts w:cstheme="minorHAnsi"/>
          <w:b/>
          <w:u w:val="single"/>
        </w:rPr>
      </w:pPr>
    </w:p>
    <w:p w:rsidR="00125D20" w:rsidRDefault="00125D20" w:rsidP="0005234B">
      <w:pPr>
        <w:spacing w:after="0" w:line="240" w:lineRule="auto"/>
        <w:jc w:val="both"/>
        <w:rPr>
          <w:rFonts w:cstheme="minorHAnsi"/>
          <w:b/>
          <w:u w:val="single"/>
        </w:rPr>
      </w:pPr>
    </w:p>
    <w:p w:rsidR="00125D20" w:rsidRPr="00951A6E" w:rsidRDefault="00125D20" w:rsidP="0005234B">
      <w:pPr>
        <w:spacing w:after="0" w:line="240" w:lineRule="auto"/>
        <w:jc w:val="both"/>
        <w:rPr>
          <w:rFonts w:cstheme="minorHAnsi"/>
          <w:b/>
          <w:u w:val="single"/>
        </w:rPr>
      </w:pPr>
      <w:r w:rsidRPr="00951A6E">
        <w:rPr>
          <w:rFonts w:cstheme="minorHAnsi"/>
          <w:b/>
          <w:u w:val="single"/>
        </w:rPr>
        <w:t xml:space="preserve">Qualifications: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b/>
          <w:bCs/>
        </w:rPr>
      </w:pPr>
      <w:r w:rsidRPr="00951A6E">
        <w:rPr>
          <w:rFonts w:eastAsia="Times New Roman" w:cstheme="minorHAnsi"/>
          <w:b/>
          <w:bCs/>
        </w:rPr>
        <w:t>Education:</w:t>
      </w:r>
    </w:p>
    <w:p w:rsidR="00125D20" w:rsidRDefault="00125D20" w:rsidP="0005234B">
      <w:pPr>
        <w:numPr>
          <w:ilvl w:val="0"/>
          <w:numId w:val="45"/>
        </w:numPr>
        <w:spacing w:after="0" w:line="240" w:lineRule="auto"/>
        <w:ind w:left="360"/>
        <w:jc w:val="both"/>
        <w:rPr>
          <w:rFonts w:eastAsia="Times New Roman" w:cstheme="minorHAnsi"/>
        </w:rPr>
      </w:pPr>
      <w:r w:rsidRPr="00951A6E">
        <w:rPr>
          <w:rFonts w:eastAsia="Times New Roman" w:cstheme="minorHAnsi"/>
        </w:rPr>
        <w:t>Degree or equivalent in Political Science, Public Policy, Public Administration, Business Administration, Social Sciences</w:t>
      </w:r>
      <w:r w:rsidR="009B738C">
        <w:rPr>
          <w:rFonts w:eastAsia="Times New Roman" w:cstheme="minorHAnsi"/>
        </w:rPr>
        <w:t xml:space="preserve"> or a related field is required</w:t>
      </w:r>
      <w:r w:rsidRPr="00951A6E">
        <w:rPr>
          <w:rFonts w:eastAsia="Times New Roman" w:cstheme="minorHAnsi"/>
        </w:rPr>
        <w:t>.</w:t>
      </w:r>
    </w:p>
    <w:p w:rsidR="009B738C" w:rsidRDefault="009B738C" w:rsidP="009B738C">
      <w:pPr>
        <w:spacing w:after="0" w:line="240" w:lineRule="auto"/>
        <w:ind w:left="360"/>
        <w:jc w:val="both"/>
        <w:rPr>
          <w:rFonts w:eastAsia="Times New Roman" w:cstheme="minorHAnsi"/>
        </w:rPr>
      </w:pPr>
    </w:p>
    <w:p w:rsidR="00125D20" w:rsidRPr="00125D20" w:rsidRDefault="00125D20" w:rsidP="0005234B">
      <w:pPr>
        <w:spacing w:after="0" w:line="240" w:lineRule="auto"/>
        <w:jc w:val="both"/>
        <w:rPr>
          <w:rFonts w:eastAsia="Times New Roman" w:cstheme="minorHAnsi"/>
        </w:rPr>
      </w:pPr>
      <w:r w:rsidRPr="00125D20">
        <w:rPr>
          <w:rFonts w:eastAsia="Times New Roman" w:cstheme="minorHAnsi"/>
          <w:b/>
          <w:bCs/>
        </w:rPr>
        <w:t>Experience:</w:t>
      </w:r>
    </w:p>
    <w:p w:rsidR="00125D20" w:rsidRPr="00951A6E" w:rsidRDefault="00125D20" w:rsidP="0005234B">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Minimum 5 years of working experience on issues related to organizational development or institutional strengthening for the public sector. </w:t>
      </w:r>
    </w:p>
    <w:p w:rsidR="00125D20" w:rsidRPr="00951A6E" w:rsidRDefault="00125D20" w:rsidP="0005234B">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Relevant work experience in capacity development of institutions in the context of strengthening national systems is required. </w:t>
      </w:r>
    </w:p>
    <w:p w:rsidR="00125D20" w:rsidRPr="00951A6E" w:rsidRDefault="00125D20" w:rsidP="0005234B">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Work experience in a development context is essential. </w:t>
      </w:r>
    </w:p>
    <w:p w:rsidR="003104B7" w:rsidRPr="00951A6E" w:rsidRDefault="003104B7" w:rsidP="003104B7">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Written and verbal fluency in</w:t>
      </w:r>
      <w:r w:rsidRPr="005C7F99">
        <w:rPr>
          <w:rFonts w:asciiTheme="minorHAnsi" w:hAnsiTheme="minorHAnsi" w:cstheme="minorHAnsi"/>
          <w:bCs/>
          <w:i/>
          <w:sz w:val="22"/>
          <w:szCs w:val="22"/>
          <w:lang w:val="en-GB"/>
        </w:rPr>
        <w:t xml:space="preserve"> </w:t>
      </w:r>
      <w:r w:rsidRPr="005C7F99">
        <w:rPr>
          <w:rFonts w:asciiTheme="minorHAnsi" w:hAnsiTheme="minorHAnsi" w:cstheme="minorHAnsi"/>
          <w:bCs/>
          <w:i/>
          <w:sz w:val="22"/>
          <w:szCs w:val="22"/>
          <w:highlight w:val="yellow"/>
          <w:lang w:val="en-GB"/>
        </w:rPr>
        <w:t>XXXX</w:t>
      </w:r>
      <w:r w:rsidRPr="00951A6E">
        <w:rPr>
          <w:rFonts w:asciiTheme="minorHAnsi" w:hAnsiTheme="minorHAnsi" w:cstheme="minorHAnsi"/>
          <w:bCs/>
          <w:sz w:val="22"/>
          <w:szCs w:val="22"/>
          <w:lang w:val="en-GB"/>
        </w:rPr>
        <w:t xml:space="preserve"> is essential</w:t>
      </w:r>
    </w:p>
    <w:p w:rsidR="00125D20" w:rsidRPr="00951A6E" w:rsidRDefault="00125D20" w:rsidP="0005234B">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Experience in working for an international organization and/or UNDP is required. </w:t>
      </w:r>
    </w:p>
    <w:p w:rsidR="00125D20" w:rsidRPr="00951A6E" w:rsidRDefault="00125D20" w:rsidP="0005234B">
      <w:pPr>
        <w:pStyle w:val="NormalWeb"/>
        <w:numPr>
          <w:ilvl w:val="0"/>
          <w:numId w:val="46"/>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Experience of working and/or knowledge of the Global Fund for HIV, TB and Malaria, is an asset. </w:t>
      </w:r>
    </w:p>
    <w:p w:rsidR="00125D20" w:rsidRPr="00951A6E" w:rsidRDefault="00125D20" w:rsidP="0005234B">
      <w:pPr>
        <w:pStyle w:val="NormalWeb"/>
        <w:spacing w:before="0" w:beforeAutospacing="0" w:after="0" w:afterAutospacing="0"/>
        <w:jc w:val="both"/>
        <w:rPr>
          <w:rFonts w:asciiTheme="minorHAnsi" w:hAnsiTheme="minorHAnsi" w:cstheme="minorHAnsi"/>
          <w:bCs/>
          <w:sz w:val="22"/>
          <w:szCs w:val="22"/>
          <w:lang w:val="en-GB"/>
        </w:rPr>
      </w:pPr>
    </w:p>
    <w:p w:rsidR="00125D20" w:rsidRPr="00951A6E" w:rsidRDefault="00125D20" w:rsidP="0005234B">
      <w:pPr>
        <w:spacing w:after="0" w:line="240" w:lineRule="auto"/>
        <w:jc w:val="both"/>
        <w:rPr>
          <w:b/>
        </w:rPr>
      </w:pPr>
      <w:r w:rsidRPr="00951A6E">
        <w:rPr>
          <w:b/>
        </w:rPr>
        <w:t>Language Requirement:</w:t>
      </w:r>
      <w:r w:rsidRPr="003104B7">
        <w:t xml:space="preserve"> </w:t>
      </w:r>
      <w:r w:rsidRPr="003104B7">
        <w:rPr>
          <w:i/>
          <w:highlight w:val="yellow"/>
        </w:rPr>
        <w:t>XXXX</w:t>
      </w:r>
    </w:p>
    <w:p w:rsidR="00125D20" w:rsidRDefault="00125D20" w:rsidP="0005234B">
      <w:pPr>
        <w:jc w:val="both"/>
        <w:rPr>
          <w:b/>
        </w:rPr>
      </w:pPr>
    </w:p>
    <w:p w:rsidR="00125D20" w:rsidRPr="00951A6E" w:rsidRDefault="00125D20" w:rsidP="0005234B">
      <w:pPr>
        <w:spacing w:after="0" w:line="240" w:lineRule="auto"/>
        <w:jc w:val="both"/>
        <w:rPr>
          <w:b/>
        </w:rPr>
      </w:pPr>
      <w:r w:rsidRPr="00951A6E">
        <w:rPr>
          <w:b/>
        </w:rPr>
        <w:t>GUIDELINES FOR APPLICATION</w:t>
      </w:r>
    </w:p>
    <w:p w:rsidR="009B738C" w:rsidRPr="00855F42" w:rsidRDefault="009B738C" w:rsidP="009B738C">
      <w:pPr>
        <w:spacing w:after="0" w:line="240" w:lineRule="auto"/>
        <w:rPr>
          <w:i/>
          <w:highlight w:val="yellow"/>
        </w:rPr>
      </w:pPr>
      <w:r w:rsidRPr="00951A6E">
        <w:rPr>
          <w:i/>
          <w:highlight w:val="yellow"/>
        </w:rPr>
        <w:t xml:space="preserve">Filled P11 form </w:t>
      </w:r>
      <w:r>
        <w:rPr>
          <w:i/>
          <w:highlight w:val="yellow"/>
        </w:rPr>
        <w:t xml:space="preserve">or CV and </w:t>
      </w:r>
      <w:r w:rsidRPr="00951A6E">
        <w:rPr>
          <w:i/>
          <w:highlight w:val="yellow"/>
        </w:rPr>
        <w:t>Financial Proposal.</w:t>
      </w:r>
    </w:p>
    <w:p w:rsidR="00125D20" w:rsidRPr="009B738C" w:rsidRDefault="009B738C" w:rsidP="009B738C">
      <w:pPr>
        <w:spacing w:after="0" w:line="240" w:lineRule="auto"/>
        <w:jc w:val="both"/>
      </w:pPr>
      <w:r w:rsidRPr="00951A6E">
        <w:t xml:space="preserve">Incomplete applications will not be considered. Please make sure you have provided all requested materials.  </w:t>
      </w:r>
      <w:r w:rsidRPr="00951A6E">
        <w:rPr>
          <w:rStyle w:val="Strong"/>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9B738C" w:rsidRDefault="009B738C" w:rsidP="0005234B">
      <w:pPr>
        <w:spacing w:after="0" w:line="240" w:lineRule="auto"/>
        <w:jc w:val="both"/>
        <w:rPr>
          <w:rFonts w:cs="Tahoma"/>
        </w:rPr>
      </w:pPr>
    </w:p>
    <w:p w:rsidR="009B738C" w:rsidRDefault="009B738C" w:rsidP="0005234B">
      <w:pPr>
        <w:spacing w:after="0" w:line="240" w:lineRule="auto"/>
        <w:jc w:val="both"/>
        <w:rPr>
          <w:rFonts w:cs="Tahoma"/>
        </w:rPr>
      </w:pPr>
    </w:p>
    <w:p w:rsidR="009B738C" w:rsidRPr="00951A6E" w:rsidRDefault="009B738C" w:rsidP="009B738C">
      <w:pPr>
        <w:spacing w:after="0" w:line="240" w:lineRule="auto"/>
        <w:jc w:val="both"/>
        <w:rPr>
          <w:rFonts w:cstheme="minorHAnsi"/>
          <w:b/>
        </w:rPr>
      </w:pPr>
      <w:r w:rsidRPr="00951A6E">
        <w:rPr>
          <w:rFonts w:cstheme="minorHAnsi"/>
          <w:b/>
        </w:rPr>
        <w:t xml:space="preserve">Travel:  </w:t>
      </w:r>
      <w:r w:rsidRPr="00951A6E">
        <w:rPr>
          <w:rFonts w:cstheme="minorHAnsi"/>
          <w:b/>
          <w:i/>
          <w:highlight w:val="yellow"/>
        </w:rPr>
        <w:t>Country – Number of missions x Number of days for each mission.</w:t>
      </w:r>
      <w:r w:rsidRPr="00951A6E">
        <w:rPr>
          <w:rFonts w:cstheme="minorHAnsi"/>
          <w:b/>
        </w:rPr>
        <w:t xml:space="preserve"> </w:t>
      </w:r>
    </w:p>
    <w:p w:rsidR="009B738C" w:rsidRPr="00951A6E" w:rsidRDefault="009B738C" w:rsidP="009B738C">
      <w:pPr>
        <w:spacing w:after="0" w:line="240" w:lineRule="auto"/>
        <w:jc w:val="both"/>
        <w:rPr>
          <w:rFonts w:eastAsia="Times New Roman" w:cstheme="minorHAnsi"/>
        </w:rPr>
      </w:pPr>
      <w:r w:rsidRPr="00951A6E">
        <w:rPr>
          <w:rFonts w:eastAsia="Times New Roman" w:cstheme="minorHAnsi"/>
        </w:rPr>
        <w:t xml:space="preserve">All envisaged travel costs must be included in the financial proposal. In general, UNDP </w:t>
      </w:r>
      <w:r>
        <w:rPr>
          <w:rFonts w:eastAsia="Times New Roman" w:cstheme="minorHAnsi"/>
        </w:rPr>
        <w:t>does</w:t>
      </w:r>
      <w:r w:rsidRPr="00951A6E">
        <w:rPr>
          <w:rFonts w:eastAsia="Times New Roman" w:cstheme="minorHAnsi"/>
        </w:rPr>
        <w:t xml:space="preserve">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rsidR="009B738C" w:rsidRDefault="009B738C" w:rsidP="0005234B">
      <w:pPr>
        <w:spacing w:after="0" w:line="240" w:lineRule="auto"/>
        <w:jc w:val="both"/>
        <w:rPr>
          <w:rFonts w:cs="Tahoma"/>
        </w:rPr>
      </w:pPr>
    </w:p>
    <w:p w:rsidR="009B738C" w:rsidRDefault="009B738C" w:rsidP="0005234B">
      <w:pPr>
        <w:spacing w:after="0" w:line="240" w:lineRule="auto"/>
        <w:jc w:val="both"/>
        <w:rPr>
          <w:rFonts w:cs="Tahoma"/>
        </w:rPr>
      </w:pPr>
    </w:p>
    <w:p w:rsidR="009B738C" w:rsidRPr="00855F42" w:rsidRDefault="009B738C" w:rsidP="009B738C">
      <w:pPr>
        <w:spacing w:after="0" w:line="240" w:lineRule="auto"/>
        <w:jc w:val="both"/>
        <w:rPr>
          <w:rFonts w:cstheme="minorHAnsi"/>
          <w:b/>
          <w:lang w:val="en-GB"/>
        </w:rPr>
      </w:pPr>
      <w:r w:rsidRPr="00855F42">
        <w:rPr>
          <w:rFonts w:cstheme="minorHAnsi"/>
          <w:b/>
          <w:lang w:val="en-GB"/>
        </w:rPr>
        <w:t xml:space="preserve">Evaluation: </w:t>
      </w:r>
      <w:r w:rsidRPr="00855F42">
        <w:rPr>
          <w:rFonts w:eastAsia="Times New Roman" w:cstheme="minorHAnsi"/>
          <w:i/>
          <w:highlight w:val="yellow"/>
          <w:lang w:val="en-GB"/>
        </w:rPr>
        <w:t>Detail how applicants will be evaluated.</w:t>
      </w:r>
    </w:p>
    <w:p w:rsidR="009B738C" w:rsidRDefault="009B738C" w:rsidP="009B738C">
      <w:pPr>
        <w:spacing w:after="0" w:line="240" w:lineRule="auto"/>
        <w:jc w:val="both"/>
        <w:rPr>
          <w:rFonts w:cs="Tahoma"/>
        </w:rPr>
      </w:pPr>
    </w:p>
    <w:p w:rsidR="009B738C" w:rsidRDefault="009B738C" w:rsidP="009B738C">
      <w:pPr>
        <w:spacing w:after="0" w:line="240" w:lineRule="auto"/>
        <w:jc w:val="both"/>
        <w:rPr>
          <w:rFonts w:cs="Tahoma"/>
        </w:rPr>
      </w:pPr>
    </w:p>
    <w:p w:rsidR="009B738C" w:rsidRPr="00951A6E" w:rsidRDefault="009B738C" w:rsidP="009B738C">
      <w:pPr>
        <w:spacing w:after="0" w:line="240" w:lineRule="auto"/>
        <w:jc w:val="both"/>
        <w:rPr>
          <w:rFonts w:cstheme="minorHAnsi"/>
          <w:b/>
          <w:lang w:val="en-GB"/>
        </w:rPr>
      </w:pPr>
      <w:r w:rsidRPr="00951A6E">
        <w:rPr>
          <w:rFonts w:cstheme="minorHAnsi"/>
          <w:b/>
          <w:lang w:val="en-GB"/>
        </w:rPr>
        <w:t xml:space="preserve">Payment:  </w:t>
      </w:r>
      <w:r w:rsidRPr="00951A6E">
        <w:rPr>
          <w:rFonts w:cstheme="minorHAnsi"/>
          <w:lang w:val="en-GB"/>
        </w:rPr>
        <w:t xml:space="preserve">Lump sum payment based on deliverables. </w:t>
      </w:r>
    </w:p>
    <w:p w:rsidR="009B738C" w:rsidRDefault="009B738C" w:rsidP="009B738C">
      <w:pPr>
        <w:spacing w:after="0" w:line="240" w:lineRule="auto"/>
        <w:jc w:val="both"/>
        <w:rPr>
          <w:rFonts w:cs="Tahoma"/>
        </w:rPr>
      </w:pPr>
    </w:p>
    <w:p w:rsidR="009B738C" w:rsidRDefault="009B738C" w:rsidP="0005234B">
      <w:pPr>
        <w:spacing w:after="0" w:line="240" w:lineRule="auto"/>
        <w:jc w:val="both"/>
        <w:rPr>
          <w:rFonts w:cs="Tahoma"/>
        </w:rPr>
      </w:pPr>
    </w:p>
    <w:p w:rsidR="00125D20" w:rsidRPr="00951A6E" w:rsidRDefault="00125D20" w:rsidP="0005234B">
      <w:pPr>
        <w:spacing w:after="0" w:line="240" w:lineRule="auto"/>
        <w:jc w:val="both"/>
        <w:rPr>
          <w:rFonts w:cs="Tahoma"/>
        </w:rPr>
      </w:pPr>
      <w:r w:rsidRPr="00951A6E">
        <w:rPr>
          <w:rFonts w:cs="Tahoma"/>
        </w:rPr>
        <w:t>ANNEX 1</w:t>
      </w:r>
      <w:r>
        <w:rPr>
          <w:rFonts w:cs="Tahoma"/>
        </w:rPr>
        <w:t xml:space="preserve"> </w:t>
      </w:r>
      <w:r w:rsidRPr="00951A6E">
        <w:rPr>
          <w:rFonts w:cs="Tahoma"/>
        </w:rPr>
        <w:t xml:space="preserve">- INDIVIDUAL CONSULTANT GENERAL TERMS AND CONDITIONS is provided here: </w:t>
      </w:r>
      <w:hyperlink r:id="rId18" w:history="1">
        <w:r w:rsidRPr="00951A6E">
          <w:rPr>
            <w:rStyle w:val="Hyperlink"/>
            <w:rFonts w:cs="Tahoma"/>
          </w:rPr>
          <w:t>http://www.undp.org/content/dam/undp/documents/procurement/documents/IC%20-%20General%20Conditions.pdf</w:t>
        </w:r>
      </w:hyperlink>
    </w:p>
    <w:p w:rsidR="006659AB" w:rsidRPr="00BF295F" w:rsidRDefault="006659AB" w:rsidP="0005234B">
      <w:pPr>
        <w:spacing w:after="0" w:line="240" w:lineRule="auto"/>
        <w:jc w:val="both"/>
        <w:rPr>
          <w:highlight w:val="yellow"/>
        </w:rPr>
      </w:pPr>
    </w:p>
    <w:sectPr w:rsidR="006659AB" w:rsidRPr="00BF295F" w:rsidSect="00C5309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93" w:rsidRDefault="00200393" w:rsidP="00564C2E">
      <w:pPr>
        <w:spacing w:after="0" w:line="240" w:lineRule="auto"/>
      </w:pPr>
      <w:r>
        <w:separator/>
      </w:r>
    </w:p>
  </w:endnote>
  <w:endnote w:type="continuationSeparator" w:id="0">
    <w:p w:rsidR="00200393" w:rsidRDefault="00200393" w:rsidP="0056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Serifa Bold">
    <w:altName w:val="Courier New"/>
    <w:charset w:val="00"/>
    <w:family w:val="auto"/>
    <w:pitch w:val="variable"/>
    <w:sig w:usb0="03000000"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Bold">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93" w:rsidRDefault="00200393" w:rsidP="00564C2E">
      <w:pPr>
        <w:spacing w:after="0" w:line="240" w:lineRule="auto"/>
      </w:pPr>
      <w:r>
        <w:separator/>
      </w:r>
    </w:p>
  </w:footnote>
  <w:footnote w:type="continuationSeparator" w:id="0">
    <w:p w:rsidR="00200393" w:rsidRDefault="00200393" w:rsidP="00564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06853F9"/>
    <w:multiLevelType w:val="hybridMultilevel"/>
    <w:tmpl w:val="A4CCBD22"/>
    <w:lvl w:ilvl="0" w:tplc="0409000F">
      <w:start w:val="1"/>
      <w:numFmt w:val="decimal"/>
      <w:lvlText w:val="%1."/>
      <w:lvlJc w:val="left"/>
      <w:pPr>
        <w:tabs>
          <w:tab w:val="num" w:pos="720"/>
        </w:tabs>
        <w:ind w:left="720" w:hanging="360"/>
      </w:pPr>
      <w:rPr>
        <w:rFonts w:hint="default"/>
      </w:rPr>
    </w:lvl>
    <w:lvl w:ilvl="1" w:tplc="DA56CBC6">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A32D80"/>
    <w:multiLevelType w:val="hybridMultilevel"/>
    <w:tmpl w:val="837C8F90"/>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22A2123"/>
    <w:multiLevelType w:val="hybridMultilevel"/>
    <w:tmpl w:val="5FDA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3B2613B"/>
    <w:multiLevelType w:val="hybridMultilevel"/>
    <w:tmpl w:val="CDDAC020"/>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3BA1960"/>
    <w:multiLevelType w:val="hybridMultilevel"/>
    <w:tmpl w:val="5AA861C2"/>
    <w:lvl w:ilvl="0" w:tplc="DC2068C2">
      <w:start w:val="1"/>
      <w:numFmt w:val="decimal"/>
      <w:lvlText w:val="%1."/>
      <w:lvlJc w:val="left"/>
      <w:pPr>
        <w:tabs>
          <w:tab w:val="num" w:pos="720"/>
        </w:tabs>
        <w:ind w:left="720" w:hanging="360"/>
      </w:pPr>
      <w:rPr>
        <w:rFonts w:hint="default"/>
      </w:rPr>
    </w:lvl>
    <w:lvl w:ilvl="1" w:tplc="7B861ED8">
      <w:numFmt w:val="none"/>
      <w:lvlText w:val=""/>
      <w:lvlJc w:val="left"/>
      <w:pPr>
        <w:tabs>
          <w:tab w:val="num" w:pos="360"/>
        </w:tabs>
      </w:pPr>
    </w:lvl>
    <w:lvl w:ilvl="2" w:tplc="97A89B16">
      <w:numFmt w:val="none"/>
      <w:lvlText w:val=""/>
      <w:lvlJc w:val="left"/>
      <w:pPr>
        <w:tabs>
          <w:tab w:val="num" w:pos="360"/>
        </w:tabs>
      </w:pPr>
    </w:lvl>
    <w:lvl w:ilvl="3" w:tplc="28A494E4">
      <w:numFmt w:val="none"/>
      <w:lvlText w:val=""/>
      <w:lvlJc w:val="left"/>
      <w:pPr>
        <w:tabs>
          <w:tab w:val="num" w:pos="360"/>
        </w:tabs>
      </w:pPr>
    </w:lvl>
    <w:lvl w:ilvl="4" w:tplc="65EEF45C">
      <w:numFmt w:val="none"/>
      <w:lvlText w:val=""/>
      <w:lvlJc w:val="left"/>
      <w:pPr>
        <w:tabs>
          <w:tab w:val="num" w:pos="360"/>
        </w:tabs>
      </w:pPr>
    </w:lvl>
    <w:lvl w:ilvl="5" w:tplc="F89E65E4">
      <w:numFmt w:val="none"/>
      <w:lvlText w:val=""/>
      <w:lvlJc w:val="left"/>
      <w:pPr>
        <w:tabs>
          <w:tab w:val="num" w:pos="360"/>
        </w:tabs>
      </w:pPr>
    </w:lvl>
    <w:lvl w:ilvl="6" w:tplc="32D44CEC">
      <w:numFmt w:val="none"/>
      <w:lvlText w:val=""/>
      <w:lvlJc w:val="left"/>
      <w:pPr>
        <w:tabs>
          <w:tab w:val="num" w:pos="360"/>
        </w:tabs>
      </w:pPr>
    </w:lvl>
    <w:lvl w:ilvl="7" w:tplc="46F0C354">
      <w:numFmt w:val="none"/>
      <w:lvlText w:val=""/>
      <w:lvlJc w:val="left"/>
      <w:pPr>
        <w:tabs>
          <w:tab w:val="num" w:pos="360"/>
        </w:tabs>
      </w:pPr>
    </w:lvl>
    <w:lvl w:ilvl="8" w:tplc="1264E450">
      <w:numFmt w:val="none"/>
      <w:lvlText w:val=""/>
      <w:lvlJc w:val="left"/>
      <w:pPr>
        <w:tabs>
          <w:tab w:val="num" w:pos="360"/>
        </w:tabs>
      </w:pPr>
    </w:lvl>
  </w:abstractNum>
  <w:abstractNum w:abstractNumId="5" w15:restartNumberingAfterBreak="0">
    <w:nsid w:val="03D367ED"/>
    <w:multiLevelType w:val="hybridMultilevel"/>
    <w:tmpl w:val="68227156"/>
    <w:lvl w:ilvl="0" w:tplc="CF42A8F6">
      <w:numFmt w:val="bullet"/>
      <w:lvlText w:val="•"/>
      <w:lvlJc w:val="left"/>
      <w:pPr>
        <w:ind w:left="360" w:hanging="360"/>
      </w:pPr>
      <w:rPr>
        <w:rFonts w:ascii="Calibri" w:eastAsiaTheme="minorHAnsi" w:hAnsi="Calibri"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6" w15:restartNumberingAfterBreak="0">
    <w:nsid w:val="04B1303E"/>
    <w:multiLevelType w:val="hybridMultilevel"/>
    <w:tmpl w:val="D948578A"/>
    <w:lvl w:ilvl="0" w:tplc="CF42A8F6">
      <w:numFmt w:val="bullet"/>
      <w:lvlText w:val="•"/>
      <w:lvlJc w:val="left"/>
      <w:pPr>
        <w:ind w:left="720" w:hanging="720"/>
      </w:pPr>
      <w:rPr>
        <w:rFonts w:ascii="Calibri" w:eastAsiaTheme="minorHAnsi" w:hAnsi="Calibri"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7" w15:restartNumberingAfterBreak="0">
    <w:nsid w:val="06731726"/>
    <w:multiLevelType w:val="multilevel"/>
    <w:tmpl w:val="713C75E2"/>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8" w15:restartNumberingAfterBreak="0">
    <w:nsid w:val="15D41D80"/>
    <w:multiLevelType w:val="hybridMultilevel"/>
    <w:tmpl w:val="0E16C958"/>
    <w:lvl w:ilvl="0" w:tplc="3009000F">
      <w:start w:val="1"/>
      <w:numFmt w:val="decimal"/>
      <w:lvlText w:val="%1."/>
      <w:lvlJc w:val="left"/>
      <w:pPr>
        <w:ind w:left="81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9BE56A8"/>
    <w:multiLevelType w:val="hybridMultilevel"/>
    <w:tmpl w:val="661A7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82073"/>
    <w:multiLevelType w:val="multilevel"/>
    <w:tmpl w:val="B22E376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FC3A87"/>
    <w:multiLevelType w:val="hybridMultilevel"/>
    <w:tmpl w:val="965841EA"/>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769269E"/>
    <w:multiLevelType w:val="hybridMultilevel"/>
    <w:tmpl w:val="69C64568"/>
    <w:lvl w:ilvl="0" w:tplc="04090001">
      <w:start w:val="1"/>
      <w:numFmt w:val="bullet"/>
      <w:lvlText w:val=""/>
      <w:lvlJc w:val="left"/>
      <w:pPr>
        <w:tabs>
          <w:tab w:val="num" w:pos="360"/>
        </w:tabs>
        <w:ind w:left="360" w:hanging="360"/>
      </w:pPr>
      <w:rPr>
        <w:rFonts w:ascii="Symbol" w:hAnsi="Symbol" w:hint="default"/>
      </w:rPr>
    </w:lvl>
    <w:lvl w:ilvl="1" w:tplc="DA56CBC6">
      <w:start w:val="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A40816"/>
    <w:multiLevelType w:val="hybridMultilevel"/>
    <w:tmpl w:val="DFFA3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EB5D99"/>
    <w:multiLevelType w:val="multilevel"/>
    <w:tmpl w:val="E6FE5F62"/>
    <w:lvl w:ilvl="0">
      <w:start w:val="1"/>
      <w:numFmt w:val="decimal"/>
      <w:lvlText w:val="%1."/>
      <w:lvlJc w:val="left"/>
      <w:pPr>
        <w:ind w:left="1080" w:hanging="72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8969F0"/>
    <w:multiLevelType w:val="hybridMultilevel"/>
    <w:tmpl w:val="1960F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0E25D1"/>
    <w:multiLevelType w:val="hybridMultilevel"/>
    <w:tmpl w:val="59DEF010"/>
    <w:lvl w:ilvl="0" w:tplc="3EF8242E">
      <w:start w:val="1"/>
      <w:numFmt w:val="decimal"/>
      <w:lvlText w:val="%1."/>
      <w:lvlJc w:val="left"/>
      <w:pPr>
        <w:tabs>
          <w:tab w:val="num" w:pos="360"/>
        </w:tabs>
        <w:ind w:left="360" w:hanging="360"/>
      </w:pPr>
      <w:rPr>
        <w:rFonts w:hint="default"/>
      </w:rPr>
    </w:lvl>
    <w:lvl w:ilvl="1" w:tplc="5DB08646">
      <w:numFmt w:val="none"/>
      <w:lvlText w:val=""/>
      <w:lvlJc w:val="left"/>
      <w:pPr>
        <w:tabs>
          <w:tab w:val="num" w:pos="360"/>
        </w:tabs>
      </w:pPr>
    </w:lvl>
    <w:lvl w:ilvl="2" w:tplc="CBA62434">
      <w:numFmt w:val="none"/>
      <w:lvlText w:val=""/>
      <w:lvlJc w:val="left"/>
      <w:pPr>
        <w:tabs>
          <w:tab w:val="num" w:pos="360"/>
        </w:tabs>
      </w:pPr>
    </w:lvl>
    <w:lvl w:ilvl="3" w:tplc="634E2744">
      <w:numFmt w:val="none"/>
      <w:lvlText w:val=""/>
      <w:lvlJc w:val="left"/>
      <w:pPr>
        <w:tabs>
          <w:tab w:val="num" w:pos="360"/>
        </w:tabs>
      </w:pPr>
    </w:lvl>
    <w:lvl w:ilvl="4" w:tplc="C780FC40">
      <w:numFmt w:val="none"/>
      <w:lvlText w:val=""/>
      <w:lvlJc w:val="left"/>
      <w:pPr>
        <w:tabs>
          <w:tab w:val="num" w:pos="360"/>
        </w:tabs>
      </w:pPr>
    </w:lvl>
    <w:lvl w:ilvl="5" w:tplc="A5E4AA3A">
      <w:numFmt w:val="none"/>
      <w:lvlText w:val=""/>
      <w:lvlJc w:val="left"/>
      <w:pPr>
        <w:tabs>
          <w:tab w:val="num" w:pos="360"/>
        </w:tabs>
      </w:pPr>
    </w:lvl>
    <w:lvl w:ilvl="6" w:tplc="DD06EB52">
      <w:numFmt w:val="none"/>
      <w:lvlText w:val=""/>
      <w:lvlJc w:val="left"/>
      <w:pPr>
        <w:tabs>
          <w:tab w:val="num" w:pos="360"/>
        </w:tabs>
      </w:pPr>
    </w:lvl>
    <w:lvl w:ilvl="7" w:tplc="41FA821C">
      <w:numFmt w:val="none"/>
      <w:lvlText w:val=""/>
      <w:lvlJc w:val="left"/>
      <w:pPr>
        <w:tabs>
          <w:tab w:val="num" w:pos="360"/>
        </w:tabs>
      </w:pPr>
    </w:lvl>
    <w:lvl w:ilvl="8" w:tplc="060C446A">
      <w:numFmt w:val="none"/>
      <w:lvlText w:val=""/>
      <w:lvlJc w:val="left"/>
      <w:pPr>
        <w:tabs>
          <w:tab w:val="num" w:pos="360"/>
        </w:tabs>
      </w:pPr>
    </w:lvl>
  </w:abstractNum>
  <w:abstractNum w:abstractNumId="17" w15:restartNumberingAfterBreak="0">
    <w:nsid w:val="34640E58"/>
    <w:multiLevelType w:val="hybridMultilevel"/>
    <w:tmpl w:val="AE2443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E0246E"/>
    <w:multiLevelType w:val="multilevel"/>
    <w:tmpl w:val="6E7E6C72"/>
    <w:lvl w:ilvl="0">
      <w:start w:val="1"/>
      <w:numFmt w:val="decimal"/>
      <w:lvlText w:val="%1."/>
      <w:lvlJc w:val="left"/>
      <w:pPr>
        <w:ind w:left="1080" w:hanging="72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CA26FE"/>
    <w:multiLevelType w:val="hybridMultilevel"/>
    <w:tmpl w:val="27821B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9D611F6"/>
    <w:multiLevelType w:val="hybridMultilevel"/>
    <w:tmpl w:val="697AF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91352"/>
    <w:multiLevelType w:val="hybridMultilevel"/>
    <w:tmpl w:val="BF3A8C92"/>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3FAC6B45"/>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07B002B"/>
    <w:multiLevelType w:val="hybridMultilevel"/>
    <w:tmpl w:val="39643C5E"/>
    <w:lvl w:ilvl="0" w:tplc="CF42A8F6">
      <w:numFmt w:val="bullet"/>
      <w:lvlText w:val="•"/>
      <w:lvlJc w:val="left"/>
      <w:pPr>
        <w:ind w:left="360" w:hanging="360"/>
      </w:pPr>
      <w:rPr>
        <w:rFonts w:ascii="Calibri" w:eastAsiaTheme="minorHAnsi" w:hAnsi="Calibri"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5" w15:restartNumberingAfterBreak="0">
    <w:nsid w:val="41134466"/>
    <w:multiLevelType w:val="hybridMultilevel"/>
    <w:tmpl w:val="6158D4E0"/>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12A2F6A"/>
    <w:multiLevelType w:val="hybridMultilevel"/>
    <w:tmpl w:val="6D98EA40"/>
    <w:lvl w:ilvl="0" w:tplc="CF42A8F6">
      <w:numFmt w:val="bullet"/>
      <w:lvlText w:val="•"/>
      <w:lvlJc w:val="left"/>
      <w:pPr>
        <w:ind w:left="720" w:hanging="720"/>
      </w:pPr>
      <w:rPr>
        <w:rFonts w:ascii="Calibri" w:eastAsiaTheme="minorHAnsi" w:hAnsi="Calibri"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7" w15:restartNumberingAfterBreak="0">
    <w:nsid w:val="412E468C"/>
    <w:multiLevelType w:val="hybridMultilevel"/>
    <w:tmpl w:val="7D6ACDFC"/>
    <w:lvl w:ilvl="0" w:tplc="CF42A8F6">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65166A1"/>
    <w:multiLevelType w:val="hybridMultilevel"/>
    <w:tmpl w:val="DD1295D4"/>
    <w:lvl w:ilvl="0" w:tplc="CF42A8F6">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46C95C26"/>
    <w:multiLevelType w:val="hybridMultilevel"/>
    <w:tmpl w:val="B7B2C2F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49963E59"/>
    <w:multiLevelType w:val="hybridMultilevel"/>
    <w:tmpl w:val="21DA1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4D213136"/>
    <w:multiLevelType w:val="hybridMultilevel"/>
    <w:tmpl w:val="2E06ECF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4D853097"/>
    <w:multiLevelType w:val="hybridMultilevel"/>
    <w:tmpl w:val="788ADF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B34A74"/>
    <w:multiLevelType w:val="hybridMultilevel"/>
    <w:tmpl w:val="37588F9A"/>
    <w:lvl w:ilvl="0" w:tplc="CF42A8F6">
      <w:numFmt w:val="bullet"/>
      <w:lvlText w:val="•"/>
      <w:lvlJc w:val="left"/>
      <w:pPr>
        <w:ind w:left="1440" w:hanging="72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4" w15:restartNumberingAfterBreak="0">
    <w:nsid w:val="57D7222E"/>
    <w:multiLevelType w:val="hybridMultilevel"/>
    <w:tmpl w:val="05D40242"/>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5" w15:restartNumberingAfterBreak="0">
    <w:nsid w:val="59794ED9"/>
    <w:multiLevelType w:val="hybridMultilevel"/>
    <w:tmpl w:val="55F4E3A6"/>
    <w:lvl w:ilvl="0" w:tplc="CF42A8F6">
      <w:numFmt w:val="bullet"/>
      <w:lvlText w:val="•"/>
      <w:lvlJc w:val="left"/>
      <w:pPr>
        <w:ind w:left="720" w:hanging="720"/>
      </w:pPr>
      <w:rPr>
        <w:rFonts w:ascii="Calibri" w:eastAsiaTheme="minorHAnsi" w:hAnsi="Calibri" w:cstheme="minorBidi"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6" w15:restartNumberingAfterBreak="0">
    <w:nsid w:val="5BEB1143"/>
    <w:multiLevelType w:val="hybridMultilevel"/>
    <w:tmpl w:val="D6C4B12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5C363EB5"/>
    <w:multiLevelType w:val="hybridMultilevel"/>
    <w:tmpl w:val="DDE4FA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2354533"/>
    <w:multiLevelType w:val="hybridMultilevel"/>
    <w:tmpl w:val="E7AA25E0"/>
    <w:lvl w:ilvl="0" w:tplc="8B3AA0E8">
      <w:start w:val="1"/>
      <w:numFmt w:val="decimal"/>
      <w:lvlText w:val="%1."/>
      <w:lvlJc w:val="left"/>
      <w:pPr>
        <w:tabs>
          <w:tab w:val="num" w:pos="720"/>
        </w:tabs>
        <w:ind w:left="720" w:hanging="360"/>
      </w:pPr>
      <w:rPr>
        <w:rFonts w:hint="default"/>
      </w:rPr>
    </w:lvl>
    <w:lvl w:ilvl="1" w:tplc="6ADE415E">
      <w:numFmt w:val="none"/>
      <w:lvlText w:val=""/>
      <w:lvlJc w:val="left"/>
      <w:pPr>
        <w:tabs>
          <w:tab w:val="num" w:pos="360"/>
        </w:tabs>
      </w:pPr>
    </w:lvl>
    <w:lvl w:ilvl="2" w:tplc="3ED28C4E">
      <w:numFmt w:val="none"/>
      <w:lvlText w:val=""/>
      <w:lvlJc w:val="left"/>
      <w:pPr>
        <w:tabs>
          <w:tab w:val="num" w:pos="360"/>
        </w:tabs>
      </w:pPr>
    </w:lvl>
    <w:lvl w:ilvl="3" w:tplc="0076F5A2">
      <w:numFmt w:val="none"/>
      <w:lvlText w:val=""/>
      <w:lvlJc w:val="left"/>
      <w:pPr>
        <w:tabs>
          <w:tab w:val="num" w:pos="360"/>
        </w:tabs>
      </w:pPr>
    </w:lvl>
    <w:lvl w:ilvl="4" w:tplc="E2880BD2">
      <w:numFmt w:val="none"/>
      <w:lvlText w:val=""/>
      <w:lvlJc w:val="left"/>
      <w:pPr>
        <w:tabs>
          <w:tab w:val="num" w:pos="360"/>
        </w:tabs>
      </w:pPr>
    </w:lvl>
    <w:lvl w:ilvl="5" w:tplc="E118D440">
      <w:numFmt w:val="none"/>
      <w:lvlText w:val=""/>
      <w:lvlJc w:val="left"/>
      <w:pPr>
        <w:tabs>
          <w:tab w:val="num" w:pos="360"/>
        </w:tabs>
      </w:pPr>
    </w:lvl>
    <w:lvl w:ilvl="6" w:tplc="124A031A">
      <w:numFmt w:val="none"/>
      <w:lvlText w:val=""/>
      <w:lvlJc w:val="left"/>
      <w:pPr>
        <w:tabs>
          <w:tab w:val="num" w:pos="360"/>
        </w:tabs>
      </w:pPr>
    </w:lvl>
    <w:lvl w:ilvl="7" w:tplc="3DDA2064">
      <w:numFmt w:val="none"/>
      <w:lvlText w:val=""/>
      <w:lvlJc w:val="left"/>
      <w:pPr>
        <w:tabs>
          <w:tab w:val="num" w:pos="360"/>
        </w:tabs>
      </w:pPr>
    </w:lvl>
    <w:lvl w:ilvl="8" w:tplc="ED52FD9E">
      <w:numFmt w:val="none"/>
      <w:lvlText w:val=""/>
      <w:lvlJc w:val="left"/>
      <w:pPr>
        <w:tabs>
          <w:tab w:val="num" w:pos="360"/>
        </w:tabs>
      </w:pPr>
    </w:lvl>
  </w:abstractNum>
  <w:abstractNum w:abstractNumId="39"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853D79"/>
    <w:multiLevelType w:val="hybridMultilevel"/>
    <w:tmpl w:val="2BF4B8F8"/>
    <w:lvl w:ilvl="0" w:tplc="7CD8D87E">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981A13"/>
    <w:multiLevelType w:val="hybridMultilevel"/>
    <w:tmpl w:val="22C8BD0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6A1B68C9"/>
    <w:multiLevelType w:val="hybridMultilevel"/>
    <w:tmpl w:val="6A4A1DB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3" w15:restartNumberingAfterBreak="0">
    <w:nsid w:val="6A3822A1"/>
    <w:multiLevelType w:val="hybridMultilevel"/>
    <w:tmpl w:val="4AC25B10"/>
    <w:lvl w:ilvl="0" w:tplc="CF42A8F6">
      <w:numFmt w:val="bullet"/>
      <w:lvlText w:val="•"/>
      <w:lvlJc w:val="left"/>
      <w:pPr>
        <w:ind w:left="1080" w:hanging="72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6DDE2F39"/>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7521512F"/>
    <w:multiLevelType w:val="multilevel"/>
    <w:tmpl w:val="10284928"/>
    <w:lvl w:ilvl="0">
      <w:start w:val="1"/>
      <w:numFmt w:val="decimal"/>
      <w:lvlText w:val="%1."/>
      <w:lvlJc w:val="left"/>
      <w:pPr>
        <w:ind w:left="1080" w:hanging="72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212816"/>
    <w:multiLevelType w:val="hybridMultilevel"/>
    <w:tmpl w:val="291205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B070B1B"/>
    <w:multiLevelType w:val="hybridMultilevel"/>
    <w:tmpl w:val="854648B4"/>
    <w:lvl w:ilvl="0" w:tplc="30090001">
      <w:start w:val="1"/>
      <w:numFmt w:val="bullet"/>
      <w:lvlText w:val=""/>
      <w:lvlJc w:val="left"/>
      <w:pPr>
        <w:ind w:left="720" w:hanging="72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48"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num w:numId="1">
    <w:abstractNumId w:val="8"/>
  </w:num>
  <w:num w:numId="2">
    <w:abstractNumId w:val="9"/>
  </w:num>
  <w:num w:numId="3">
    <w:abstractNumId w:val="4"/>
  </w:num>
  <w:num w:numId="4">
    <w:abstractNumId w:val="38"/>
  </w:num>
  <w:num w:numId="5">
    <w:abstractNumId w:val="40"/>
  </w:num>
  <w:num w:numId="6">
    <w:abstractNumId w:val="0"/>
  </w:num>
  <w:num w:numId="7">
    <w:abstractNumId w:val="13"/>
  </w:num>
  <w:num w:numId="8">
    <w:abstractNumId w:val="16"/>
  </w:num>
  <w:num w:numId="9">
    <w:abstractNumId w:val="15"/>
  </w:num>
  <w:num w:numId="10">
    <w:abstractNumId w:val="19"/>
  </w:num>
  <w:num w:numId="11">
    <w:abstractNumId w:val="20"/>
  </w:num>
  <w:num w:numId="12">
    <w:abstractNumId w:val="17"/>
  </w:num>
  <w:num w:numId="13">
    <w:abstractNumId w:val="32"/>
  </w:num>
  <w:num w:numId="14">
    <w:abstractNumId w:val="46"/>
  </w:num>
  <w:num w:numId="15">
    <w:abstractNumId w:val="12"/>
  </w:num>
  <w:num w:numId="16">
    <w:abstractNumId w:val="31"/>
  </w:num>
  <w:num w:numId="17">
    <w:abstractNumId w:val="34"/>
  </w:num>
  <w:num w:numId="18">
    <w:abstractNumId w:val="41"/>
  </w:num>
  <w:num w:numId="19">
    <w:abstractNumId w:val="1"/>
  </w:num>
  <w:num w:numId="20">
    <w:abstractNumId w:val="3"/>
  </w:num>
  <w:num w:numId="21">
    <w:abstractNumId w:val="11"/>
  </w:num>
  <w:num w:numId="22">
    <w:abstractNumId w:val="33"/>
  </w:num>
  <w:num w:numId="23">
    <w:abstractNumId w:val="24"/>
  </w:num>
  <w:num w:numId="24">
    <w:abstractNumId w:val="27"/>
  </w:num>
  <w:num w:numId="25">
    <w:abstractNumId w:val="35"/>
  </w:num>
  <w:num w:numId="26">
    <w:abstractNumId w:val="5"/>
  </w:num>
  <w:num w:numId="27">
    <w:abstractNumId w:val="22"/>
  </w:num>
  <w:num w:numId="28">
    <w:abstractNumId w:val="28"/>
  </w:num>
  <w:num w:numId="29">
    <w:abstractNumId w:val="26"/>
  </w:num>
  <w:num w:numId="30">
    <w:abstractNumId w:val="6"/>
  </w:num>
  <w:num w:numId="31">
    <w:abstractNumId w:val="47"/>
  </w:num>
  <w:num w:numId="32">
    <w:abstractNumId w:val="37"/>
  </w:num>
  <w:num w:numId="33">
    <w:abstractNumId w:val="43"/>
  </w:num>
  <w:num w:numId="34">
    <w:abstractNumId w:val="25"/>
  </w:num>
  <w:num w:numId="35">
    <w:abstractNumId w:val="45"/>
  </w:num>
  <w:num w:numId="36">
    <w:abstractNumId w:val="36"/>
  </w:num>
  <w:num w:numId="37">
    <w:abstractNumId w:val="29"/>
  </w:num>
  <w:num w:numId="38">
    <w:abstractNumId w:val="10"/>
  </w:num>
  <w:num w:numId="39">
    <w:abstractNumId w:val="42"/>
  </w:num>
  <w:num w:numId="40">
    <w:abstractNumId w:val="7"/>
  </w:num>
  <w:num w:numId="41">
    <w:abstractNumId w:val="14"/>
  </w:num>
  <w:num w:numId="42">
    <w:abstractNumId w:val="18"/>
  </w:num>
  <w:num w:numId="43">
    <w:abstractNumId w:val="39"/>
  </w:num>
  <w:num w:numId="44">
    <w:abstractNumId w:val="2"/>
  </w:num>
  <w:num w:numId="45">
    <w:abstractNumId w:val="21"/>
  </w:num>
  <w:num w:numId="46">
    <w:abstractNumId w:val="48"/>
  </w:num>
  <w:num w:numId="47">
    <w:abstractNumId w:val="23"/>
  </w:num>
  <w:num w:numId="48">
    <w:abstractNumId w:val="3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59AB"/>
    <w:rsid w:val="00000C6D"/>
    <w:rsid w:val="000328A9"/>
    <w:rsid w:val="0003424B"/>
    <w:rsid w:val="00040799"/>
    <w:rsid w:val="00043EAA"/>
    <w:rsid w:val="0005234B"/>
    <w:rsid w:val="00072C6D"/>
    <w:rsid w:val="000835CD"/>
    <w:rsid w:val="000A0626"/>
    <w:rsid w:val="000A1464"/>
    <w:rsid w:val="000A3850"/>
    <w:rsid w:val="000B0D8C"/>
    <w:rsid w:val="000B2FF5"/>
    <w:rsid w:val="000B62AF"/>
    <w:rsid w:val="000C17D2"/>
    <w:rsid w:val="000C7DCE"/>
    <w:rsid w:val="000D342B"/>
    <w:rsid w:val="000D597E"/>
    <w:rsid w:val="000E39EE"/>
    <w:rsid w:val="000F3A60"/>
    <w:rsid w:val="0010698F"/>
    <w:rsid w:val="00116AE2"/>
    <w:rsid w:val="00117930"/>
    <w:rsid w:val="0012328D"/>
    <w:rsid w:val="00125D20"/>
    <w:rsid w:val="00130161"/>
    <w:rsid w:val="00147DD7"/>
    <w:rsid w:val="00155944"/>
    <w:rsid w:val="00177893"/>
    <w:rsid w:val="00177F42"/>
    <w:rsid w:val="0018373A"/>
    <w:rsid w:val="001A20AE"/>
    <w:rsid w:val="001F58A1"/>
    <w:rsid w:val="001F7583"/>
    <w:rsid w:val="001F7672"/>
    <w:rsid w:val="00200393"/>
    <w:rsid w:val="00203B5B"/>
    <w:rsid w:val="002135AA"/>
    <w:rsid w:val="00217B6E"/>
    <w:rsid w:val="00240775"/>
    <w:rsid w:val="00265B44"/>
    <w:rsid w:val="002740FF"/>
    <w:rsid w:val="002A64AF"/>
    <w:rsid w:val="002A65A4"/>
    <w:rsid w:val="002B39B9"/>
    <w:rsid w:val="002B6CFF"/>
    <w:rsid w:val="002C72CE"/>
    <w:rsid w:val="002D1592"/>
    <w:rsid w:val="002D3784"/>
    <w:rsid w:val="002D45C8"/>
    <w:rsid w:val="002F47F3"/>
    <w:rsid w:val="00304FA2"/>
    <w:rsid w:val="0030587D"/>
    <w:rsid w:val="003104B7"/>
    <w:rsid w:val="003251D0"/>
    <w:rsid w:val="00335E0C"/>
    <w:rsid w:val="00340979"/>
    <w:rsid w:val="00353ACC"/>
    <w:rsid w:val="003608CE"/>
    <w:rsid w:val="00386F6C"/>
    <w:rsid w:val="0039187F"/>
    <w:rsid w:val="00395F47"/>
    <w:rsid w:val="003A1253"/>
    <w:rsid w:val="003A519A"/>
    <w:rsid w:val="003B133F"/>
    <w:rsid w:val="003B3D99"/>
    <w:rsid w:val="003C6769"/>
    <w:rsid w:val="003D0F13"/>
    <w:rsid w:val="003D3D22"/>
    <w:rsid w:val="003E1DFE"/>
    <w:rsid w:val="003E271D"/>
    <w:rsid w:val="003E7450"/>
    <w:rsid w:val="003F05EC"/>
    <w:rsid w:val="003F1BC5"/>
    <w:rsid w:val="003F7D9D"/>
    <w:rsid w:val="00402829"/>
    <w:rsid w:val="00416281"/>
    <w:rsid w:val="0042089E"/>
    <w:rsid w:val="00432714"/>
    <w:rsid w:val="004351C3"/>
    <w:rsid w:val="0045434E"/>
    <w:rsid w:val="0045472A"/>
    <w:rsid w:val="00464661"/>
    <w:rsid w:val="0046600B"/>
    <w:rsid w:val="004726A9"/>
    <w:rsid w:val="004D0F16"/>
    <w:rsid w:val="004D4785"/>
    <w:rsid w:val="004F22C5"/>
    <w:rsid w:val="005003CE"/>
    <w:rsid w:val="00503F21"/>
    <w:rsid w:val="00510D9C"/>
    <w:rsid w:val="00513AD7"/>
    <w:rsid w:val="00522B79"/>
    <w:rsid w:val="00530256"/>
    <w:rsid w:val="00534E83"/>
    <w:rsid w:val="00551B85"/>
    <w:rsid w:val="0055391D"/>
    <w:rsid w:val="0055781B"/>
    <w:rsid w:val="00564C2E"/>
    <w:rsid w:val="00566E09"/>
    <w:rsid w:val="00577A71"/>
    <w:rsid w:val="005834A9"/>
    <w:rsid w:val="00590978"/>
    <w:rsid w:val="005913F2"/>
    <w:rsid w:val="005A66A7"/>
    <w:rsid w:val="005B5BDE"/>
    <w:rsid w:val="005C0F63"/>
    <w:rsid w:val="005C4890"/>
    <w:rsid w:val="005F2198"/>
    <w:rsid w:val="00613E49"/>
    <w:rsid w:val="00617014"/>
    <w:rsid w:val="00624413"/>
    <w:rsid w:val="00634A4F"/>
    <w:rsid w:val="006417CE"/>
    <w:rsid w:val="00651EDD"/>
    <w:rsid w:val="00652F8A"/>
    <w:rsid w:val="006659AB"/>
    <w:rsid w:val="00665EC1"/>
    <w:rsid w:val="00671D0A"/>
    <w:rsid w:val="00690006"/>
    <w:rsid w:val="00693FB6"/>
    <w:rsid w:val="00707207"/>
    <w:rsid w:val="00716BE2"/>
    <w:rsid w:val="007305F3"/>
    <w:rsid w:val="00756341"/>
    <w:rsid w:val="00760BAB"/>
    <w:rsid w:val="00763143"/>
    <w:rsid w:val="00767FF2"/>
    <w:rsid w:val="007A02F7"/>
    <w:rsid w:val="007A11E5"/>
    <w:rsid w:val="007A24AA"/>
    <w:rsid w:val="007A64B8"/>
    <w:rsid w:val="007B7A0E"/>
    <w:rsid w:val="007D0291"/>
    <w:rsid w:val="007E36E1"/>
    <w:rsid w:val="007E3AAC"/>
    <w:rsid w:val="00816AA4"/>
    <w:rsid w:val="008354F2"/>
    <w:rsid w:val="008375A9"/>
    <w:rsid w:val="00840278"/>
    <w:rsid w:val="0087366A"/>
    <w:rsid w:val="008A1FD4"/>
    <w:rsid w:val="008A30CA"/>
    <w:rsid w:val="008A3524"/>
    <w:rsid w:val="008B5936"/>
    <w:rsid w:val="008C4459"/>
    <w:rsid w:val="008D0500"/>
    <w:rsid w:val="008D2809"/>
    <w:rsid w:val="008E3E18"/>
    <w:rsid w:val="008E60BE"/>
    <w:rsid w:val="008F3EA7"/>
    <w:rsid w:val="00911023"/>
    <w:rsid w:val="009402BE"/>
    <w:rsid w:val="00946F2A"/>
    <w:rsid w:val="00960311"/>
    <w:rsid w:val="00966F5B"/>
    <w:rsid w:val="00971134"/>
    <w:rsid w:val="0097204D"/>
    <w:rsid w:val="00974F1A"/>
    <w:rsid w:val="009B6A66"/>
    <w:rsid w:val="009B738C"/>
    <w:rsid w:val="009C118E"/>
    <w:rsid w:val="009D4ED0"/>
    <w:rsid w:val="009E1D0A"/>
    <w:rsid w:val="009E3B3A"/>
    <w:rsid w:val="00A007FA"/>
    <w:rsid w:val="00A04A84"/>
    <w:rsid w:val="00A105AC"/>
    <w:rsid w:val="00A27545"/>
    <w:rsid w:val="00A33AAC"/>
    <w:rsid w:val="00A40FE2"/>
    <w:rsid w:val="00A47CE6"/>
    <w:rsid w:val="00A80D8D"/>
    <w:rsid w:val="00AA11AA"/>
    <w:rsid w:val="00AA6D6A"/>
    <w:rsid w:val="00AB1D72"/>
    <w:rsid w:val="00AB201A"/>
    <w:rsid w:val="00AB62D4"/>
    <w:rsid w:val="00AD1C55"/>
    <w:rsid w:val="00AE14F4"/>
    <w:rsid w:val="00B10FC2"/>
    <w:rsid w:val="00B26B2B"/>
    <w:rsid w:val="00B5218E"/>
    <w:rsid w:val="00B62EC7"/>
    <w:rsid w:val="00BA1BB3"/>
    <w:rsid w:val="00BA46EF"/>
    <w:rsid w:val="00BB3704"/>
    <w:rsid w:val="00BB5FAF"/>
    <w:rsid w:val="00BB6260"/>
    <w:rsid w:val="00BC3174"/>
    <w:rsid w:val="00BD08C5"/>
    <w:rsid w:val="00BF295F"/>
    <w:rsid w:val="00C00039"/>
    <w:rsid w:val="00C00D30"/>
    <w:rsid w:val="00C02F45"/>
    <w:rsid w:val="00C22837"/>
    <w:rsid w:val="00C26529"/>
    <w:rsid w:val="00C33015"/>
    <w:rsid w:val="00C4253C"/>
    <w:rsid w:val="00C510AE"/>
    <w:rsid w:val="00C5309C"/>
    <w:rsid w:val="00C6164C"/>
    <w:rsid w:val="00C72D19"/>
    <w:rsid w:val="00C742C2"/>
    <w:rsid w:val="00C768FF"/>
    <w:rsid w:val="00C834DD"/>
    <w:rsid w:val="00C8540D"/>
    <w:rsid w:val="00CA10B2"/>
    <w:rsid w:val="00CA2167"/>
    <w:rsid w:val="00CB4B4D"/>
    <w:rsid w:val="00CD5473"/>
    <w:rsid w:val="00CF7B71"/>
    <w:rsid w:val="00D1701D"/>
    <w:rsid w:val="00D22EF4"/>
    <w:rsid w:val="00D235AB"/>
    <w:rsid w:val="00D30A49"/>
    <w:rsid w:val="00D6654F"/>
    <w:rsid w:val="00D7150D"/>
    <w:rsid w:val="00D7184C"/>
    <w:rsid w:val="00D766C5"/>
    <w:rsid w:val="00D8225A"/>
    <w:rsid w:val="00D954A8"/>
    <w:rsid w:val="00D97D3D"/>
    <w:rsid w:val="00DA0B84"/>
    <w:rsid w:val="00DB1746"/>
    <w:rsid w:val="00DC68C5"/>
    <w:rsid w:val="00DC752B"/>
    <w:rsid w:val="00DD4799"/>
    <w:rsid w:val="00DD7DB7"/>
    <w:rsid w:val="00DE472A"/>
    <w:rsid w:val="00DF68FB"/>
    <w:rsid w:val="00E65064"/>
    <w:rsid w:val="00E675E0"/>
    <w:rsid w:val="00E75D3F"/>
    <w:rsid w:val="00E81544"/>
    <w:rsid w:val="00E87E6F"/>
    <w:rsid w:val="00E90783"/>
    <w:rsid w:val="00E970BF"/>
    <w:rsid w:val="00EA10FF"/>
    <w:rsid w:val="00ED5D3F"/>
    <w:rsid w:val="00ED5EC2"/>
    <w:rsid w:val="00F20D92"/>
    <w:rsid w:val="00F2334C"/>
    <w:rsid w:val="00F253EC"/>
    <w:rsid w:val="00F26732"/>
    <w:rsid w:val="00F436F3"/>
    <w:rsid w:val="00F6332F"/>
    <w:rsid w:val="00F6756B"/>
    <w:rsid w:val="00F70EC1"/>
    <w:rsid w:val="00F76000"/>
    <w:rsid w:val="00F94ADB"/>
    <w:rsid w:val="00F9640E"/>
    <w:rsid w:val="00FA5BF0"/>
    <w:rsid w:val="00FB4BF5"/>
    <w:rsid w:val="00FB7BB7"/>
    <w:rsid w:val="00FC27C0"/>
    <w:rsid w:val="00FE71A7"/>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DB59FA6"/>
  <w15:docId w15:val="{07218667-F6CB-4D91-A913-CD80C4C6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5309C"/>
  </w:style>
  <w:style w:type="paragraph" w:styleId="Heading1">
    <w:name w:val="heading 1"/>
    <w:basedOn w:val="Normal"/>
    <w:next w:val="Normal"/>
    <w:link w:val="Heading1Char"/>
    <w:qFormat/>
    <w:rsid w:val="005C4890"/>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5C4890"/>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30"/>
    <w:pPr>
      <w:ind w:left="720"/>
      <w:contextualSpacing/>
    </w:pPr>
  </w:style>
  <w:style w:type="character" w:customStyle="1" w:styleId="Heading1Char">
    <w:name w:val="Heading 1 Char"/>
    <w:basedOn w:val="DefaultParagraphFont"/>
    <w:link w:val="Heading1"/>
    <w:rsid w:val="005C4890"/>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5C4890"/>
    <w:rPr>
      <w:rFonts w:ascii="Arial" w:eastAsia="Times New Roman" w:hAnsi="Arial" w:cs="Arial"/>
      <w:b/>
      <w:bCs/>
      <w:i/>
      <w:iCs/>
      <w:sz w:val="28"/>
      <w:szCs w:val="28"/>
      <w:lang w:val="en-GB"/>
    </w:rPr>
  </w:style>
  <w:style w:type="paragraph" w:customStyle="1" w:styleId="DefaultParagraphFontCharChar">
    <w:name w:val="Default Paragraph Font Char Char"/>
    <w:aliases w:val="Default Paragraph Font Para Char Char Char Char Char"/>
    <w:basedOn w:val="Normal"/>
    <w:rsid w:val="00651EDD"/>
    <w:pPr>
      <w:spacing w:line="240" w:lineRule="exact"/>
    </w:pPr>
    <w:rPr>
      <w:rFonts w:ascii="Arial" w:eastAsia="Times New Roman" w:hAnsi="Arial" w:cs="Times New Roman"/>
      <w:sz w:val="20"/>
      <w:szCs w:val="20"/>
      <w:lang w:val="en-GB"/>
    </w:rPr>
  </w:style>
  <w:style w:type="paragraph" w:styleId="Title">
    <w:name w:val="Title"/>
    <w:basedOn w:val="Normal"/>
    <w:link w:val="TitleChar"/>
    <w:qFormat/>
    <w:rsid w:val="00651EDD"/>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51ED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564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C2E"/>
  </w:style>
  <w:style w:type="paragraph" w:styleId="Footer">
    <w:name w:val="footer"/>
    <w:basedOn w:val="Normal"/>
    <w:link w:val="FooterChar"/>
    <w:uiPriority w:val="99"/>
    <w:unhideWhenUsed/>
    <w:rsid w:val="00564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C2E"/>
  </w:style>
  <w:style w:type="character" w:styleId="CommentReference">
    <w:name w:val="annotation reference"/>
    <w:basedOn w:val="DefaultParagraphFont"/>
    <w:unhideWhenUsed/>
    <w:rsid w:val="00FC27C0"/>
    <w:rPr>
      <w:sz w:val="16"/>
      <w:szCs w:val="16"/>
    </w:rPr>
  </w:style>
  <w:style w:type="paragraph" w:styleId="CommentText">
    <w:name w:val="annotation text"/>
    <w:basedOn w:val="Normal"/>
    <w:link w:val="CommentTextChar"/>
    <w:uiPriority w:val="99"/>
    <w:semiHidden/>
    <w:unhideWhenUsed/>
    <w:rsid w:val="00FC27C0"/>
    <w:pPr>
      <w:spacing w:line="240" w:lineRule="auto"/>
    </w:pPr>
    <w:rPr>
      <w:sz w:val="20"/>
      <w:szCs w:val="20"/>
    </w:rPr>
  </w:style>
  <w:style w:type="character" w:customStyle="1" w:styleId="CommentTextChar">
    <w:name w:val="Comment Text Char"/>
    <w:basedOn w:val="DefaultParagraphFont"/>
    <w:link w:val="CommentText"/>
    <w:uiPriority w:val="99"/>
    <w:semiHidden/>
    <w:rsid w:val="00FC27C0"/>
    <w:rPr>
      <w:sz w:val="20"/>
      <w:szCs w:val="20"/>
    </w:rPr>
  </w:style>
  <w:style w:type="paragraph" w:styleId="CommentSubject">
    <w:name w:val="annotation subject"/>
    <w:basedOn w:val="CommentText"/>
    <w:next w:val="CommentText"/>
    <w:link w:val="CommentSubjectChar"/>
    <w:uiPriority w:val="99"/>
    <w:semiHidden/>
    <w:unhideWhenUsed/>
    <w:rsid w:val="00FC27C0"/>
    <w:rPr>
      <w:b/>
      <w:bCs/>
    </w:rPr>
  </w:style>
  <w:style w:type="character" w:customStyle="1" w:styleId="CommentSubjectChar">
    <w:name w:val="Comment Subject Char"/>
    <w:basedOn w:val="CommentTextChar"/>
    <w:link w:val="CommentSubject"/>
    <w:uiPriority w:val="99"/>
    <w:semiHidden/>
    <w:rsid w:val="00FC27C0"/>
    <w:rPr>
      <w:b/>
      <w:bCs/>
      <w:sz w:val="20"/>
      <w:szCs w:val="20"/>
    </w:rPr>
  </w:style>
  <w:style w:type="paragraph" w:styleId="BalloonText">
    <w:name w:val="Balloon Text"/>
    <w:basedOn w:val="Normal"/>
    <w:link w:val="BalloonTextChar"/>
    <w:uiPriority w:val="99"/>
    <w:semiHidden/>
    <w:unhideWhenUsed/>
    <w:rsid w:val="00FC2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C0"/>
    <w:rPr>
      <w:rFonts w:ascii="Segoe UI" w:hAnsi="Segoe UI" w:cs="Segoe UI"/>
      <w:sz w:val="18"/>
      <w:szCs w:val="18"/>
    </w:rPr>
  </w:style>
  <w:style w:type="character" w:styleId="Hyperlink">
    <w:name w:val="Hyperlink"/>
    <w:basedOn w:val="DefaultParagraphFont"/>
    <w:uiPriority w:val="99"/>
    <w:unhideWhenUsed/>
    <w:rsid w:val="00AA6D6A"/>
    <w:rPr>
      <w:color w:val="0563C1" w:themeColor="hyperlink"/>
      <w:u w:val="single"/>
    </w:rPr>
  </w:style>
  <w:style w:type="paragraph" w:styleId="FootnoteText">
    <w:name w:val="footnote text"/>
    <w:basedOn w:val="Normal"/>
    <w:link w:val="FootnoteTextChar"/>
    <w:uiPriority w:val="99"/>
    <w:unhideWhenUsed/>
    <w:rsid w:val="00522B79"/>
    <w:pPr>
      <w:spacing w:after="0" w:line="240" w:lineRule="auto"/>
    </w:pPr>
    <w:rPr>
      <w:sz w:val="20"/>
      <w:szCs w:val="20"/>
    </w:rPr>
  </w:style>
  <w:style w:type="character" w:customStyle="1" w:styleId="FootnoteTextChar">
    <w:name w:val="Footnote Text Char"/>
    <w:basedOn w:val="DefaultParagraphFont"/>
    <w:link w:val="FootnoteText"/>
    <w:uiPriority w:val="99"/>
    <w:rsid w:val="00522B79"/>
    <w:rPr>
      <w:sz w:val="20"/>
      <w:szCs w:val="20"/>
    </w:rPr>
  </w:style>
  <w:style w:type="character" w:styleId="FootnoteReference">
    <w:name w:val="footnote reference"/>
    <w:basedOn w:val="DefaultParagraphFont"/>
    <w:uiPriority w:val="99"/>
    <w:semiHidden/>
    <w:unhideWhenUsed/>
    <w:rsid w:val="00522B79"/>
    <w:rPr>
      <w:vertAlign w:val="superscript"/>
    </w:rPr>
  </w:style>
  <w:style w:type="paragraph" w:customStyle="1" w:styleId="bold">
    <w:name w:val="bold"/>
    <w:rsid w:val="007A02F7"/>
    <w:pPr>
      <w:widowControl w:val="0"/>
      <w:autoSpaceDE w:val="0"/>
      <w:autoSpaceDN w:val="0"/>
      <w:adjustRightInd w:val="0"/>
      <w:spacing w:after="0" w:line="340" w:lineRule="atLeast"/>
    </w:pPr>
    <w:rPr>
      <w:rFonts w:ascii="B Serifa Bold" w:eastAsia="Times New Roman" w:hAnsi="B Serifa Bold" w:cs="Times New Roman"/>
      <w:color w:val="000000"/>
      <w:spacing w:val="-15"/>
      <w:sz w:val="21"/>
      <w:szCs w:val="20"/>
      <w:lang w:val="en-US"/>
    </w:rPr>
  </w:style>
  <w:style w:type="paragraph" w:customStyle="1" w:styleId="Default">
    <w:name w:val="Default"/>
    <w:rsid w:val="00D766C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NormalWeb">
    <w:name w:val="Normal (Web)"/>
    <w:basedOn w:val="Normal"/>
    <w:uiPriority w:val="99"/>
    <w:rsid w:val="00D766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766C5"/>
    <w:rPr>
      <w:b/>
      <w:bCs/>
    </w:rPr>
  </w:style>
  <w:style w:type="table" w:styleId="TableGrid">
    <w:name w:val="Table Grid"/>
    <w:basedOn w:val="TableNormal"/>
    <w:uiPriority w:val="59"/>
    <w:rsid w:val="00D766C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644">
      <w:bodyDiv w:val="1"/>
      <w:marLeft w:val="0"/>
      <w:marRight w:val="0"/>
      <w:marTop w:val="0"/>
      <w:marBottom w:val="0"/>
      <w:divBdr>
        <w:top w:val="none" w:sz="0" w:space="0" w:color="auto"/>
        <w:left w:val="none" w:sz="0" w:space="0" w:color="auto"/>
        <w:bottom w:val="none" w:sz="0" w:space="0" w:color="auto"/>
        <w:right w:val="none" w:sz="0" w:space="0" w:color="auto"/>
      </w:divBdr>
    </w:div>
    <w:div w:id="11494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69C3D-D8BC-46A8-8C8B-3457B87C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Coulson</dc:creator>
  <cp:lastModifiedBy>Rodney Alfonso</cp:lastModifiedBy>
  <cp:revision>2</cp:revision>
  <cp:lastPrinted>2016-10-05T13:02:00Z</cp:lastPrinted>
  <dcterms:created xsi:type="dcterms:W3CDTF">2017-03-01T04:56:00Z</dcterms:created>
  <dcterms:modified xsi:type="dcterms:W3CDTF">2017-03-01T04:56:00Z</dcterms:modified>
</cp:coreProperties>
</file>