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4F60" w:rsidRPr="00304B4C" w:rsidRDefault="00BE4F60" w:rsidP="00BE4F60">
      <w:pPr>
        <w:rPr>
          <w:rFonts w:asciiTheme="minorHAnsi" w:hAnsiTheme="minorHAnsi" w:cstheme="minorHAnsi"/>
          <w:b/>
          <w:sz w:val="22"/>
          <w:szCs w:val="22"/>
        </w:rPr>
      </w:pPr>
      <w:r w:rsidRPr="00304B4C">
        <w:rPr>
          <w:rFonts w:asciiTheme="minorHAnsi" w:hAnsiTheme="minorHAnsi" w:cstheme="minorHAnsi"/>
          <w:b/>
          <w:sz w:val="22"/>
          <w:szCs w:val="22"/>
        </w:rPr>
        <w:t>Transition Milestones</w:t>
      </w:r>
    </w:p>
    <w:p w:rsidR="00BE4F60" w:rsidRPr="00304B4C" w:rsidRDefault="00BE4F60" w:rsidP="00BE4F60">
      <w:pPr>
        <w:spacing w:line="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304B4C">
        <w:rPr>
          <w:rFonts w:asciiTheme="minorHAnsi" w:hAnsiTheme="minorHAnsi" w:cstheme="minorHAnsi"/>
          <w:sz w:val="22"/>
          <w:szCs w:val="22"/>
        </w:rPr>
        <w:t xml:space="preserve">The following </w:t>
      </w:r>
      <w:r>
        <w:rPr>
          <w:rFonts w:asciiTheme="minorHAnsi" w:hAnsiTheme="minorHAnsi" w:cstheme="minorHAnsi"/>
          <w:sz w:val="22"/>
          <w:szCs w:val="22"/>
        </w:rPr>
        <w:t xml:space="preserve">example of </w:t>
      </w:r>
      <w:r w:rsidRPr="00304B4C">
        <w:rPr>
          <w:rFonts w:asciiTheme="minorHAnsi" w:hAnsiTheme="minorHAnsi" w:cstheme="minorHAnsi"/>
          <w:sz w:val="22"/>
          <w:szCs w:val="22"/>
        </w:rPr>
        <w:t xml:space="preserve">transition milestones were developed to measure the successful implementation of the Transition </w:t>
      </w:r>
      <w:r>
        <w:rPr>
          <w:rFonts w:asciiTheme="minorHAnsi" w:hAnsiTheme="minorHAnsi" w:cstheme="minorHAnsi"/>
          <w:sz w:val="22"/>
          <w:szCs w:val="22"/>
        </w:rPr>
        <w:t>of the PR to national entities</w:t>
      </w:r>
      <w:bookmarkStart w:id="0" w:name="_GoBack"/>
      <w:bookmarkEnd w:id="0"/>
      <w:r w:rsidRPr="00304B4C">
        <w:rPr>
          <w:rFonts w:asciiTheme="minorHAnsi" w:hAnsiTheme="minorHAnsi" w:cstheme="minorHAnsi"/>
          <w:sz w:val="22"/>
          <w:szCs w:val="22"/>
        </w:rPr>
        <w:t>. Good progress needs to be made towards achieving these milestones before grants can fully transition.</w:t>
      </w:r>
    </w:p>
    <w:p w:rsidR="00BE4F60" w:rsidRPr="00304B4C" w:rsidRDefault="00BE4F60" w:rsidP="00BE4F60">
      <w:pPr>
        <w:spacing w:line="300" w:lineRule="atLeast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13" w:type="pct"/>
        <w:tblLayout w:type="fixed"/>
        <w:tblLook w:val="04A0" w:firstRow="1" w:lastRow="0" w:firstColumn="1" w:lastColumn="0" w:noHBand="0" w:noVBand="1"/>
      </w:tblPr>
      <w:tblGrid>
        <w:gridCol w:w="1170"/>
        <w:gridCol w:w="7869"/>
      </w:tblGrid>
      <w:tr w:rsidR="00BE4F60" w:rsidRPr="00304B4C" w:rsidTr="009301A9">
        <w:trPr>
          <w:trHeight w:val="537"/>
          <w:tblHeader/>
        </w:trPr>
        <w:tc>
          <w:tcPr>
            <w:tcW w:w="179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8EA9DB"/>
            <w:hideMark/>
          </w:tcPr>
          <w:p w:rsidR="00BE4F60" w:rsidRPr="00304B4C" w:rsidRDefault="00BE4F60" w:rsidP="009301A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04B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Transition Milestones</w:t>
            </w:r>
          </w:p>
        </w:tc>
      </w:tr>
      <w:tr w:rsidR="00BE4F60" w:rsidRPr="00304B4C" w:rsidTr="009301A9">
        <w:trPr>
          <w:trHeight w:val="537"/>
          <w:tblHeader/>
        </w:trPr>
        <w:tc>
          <w:tcPr>
            <w:tcW w:w="1794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BE4F60" w:rsidRPr="00304B4C" w:rsidRDefault="00BE4F60" w:rsidP="009301A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E4F60" w:rsidRPr="00304B4C" w:rsidTr="009301A9">
        <w:trPr>
          <w:trHeight w:val="534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F60" w:rsidRPr="00304B4C" w:rsidRDefault="00BE4F60" w:rsidP="009301A9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304B4C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F60" w:rsidRPr="00304B4C" w:rsidRDefault="00BE4F60" w:rsidP="009301A9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304B4C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The complete MOH PMU needs to be in place, with clear connecting lines of communication, accountability and feedback to and from the implementing directorates.</w:t>
            </w:r>
          </w:p>
        </w:tc>
      </w:tr>
      <w:tr w:rsidR="00BE4F60" w:rsidRPr="00304B4C" w:rsidTr="009301A9">
        <w:trPr>
          <w:trHeight w:val="6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F60" w:rsidRPr="00304B4C" w:rsidRDefault="00BE4F60" w:rsidP="009301A9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304B4C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F60" w:rsidRPr="00304B4C" w:rsidRDefault="00BE4F60" w:rsidP="009301A9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304B4C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Capacity at the s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ub-national </w:t>
            </w:r>
            <w:r w:rsidRPr="00304B4C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level is known and recommendations or capacity development plan for the 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sub-national </w:t>
            </w:r>
            <w:r w:rsidRPr="00304B4C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is in place.</w:t>
            </w:r>
          </w:p>
        </w:tc>
      </w:tr>
      <w:tr w:rsidR="00BE4F60" w:rsidRPr="00304B4C" w:rsidTr="009301A9">
        <w:trPr>
          <w:trHeight w:val="9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F60" w:rsidRPr="00304B4C" w:rsidRDefault="00BE4F60" w:rsidP="009301A9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304B4C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F60" w:rsidRPr="00304B4C" w:rsidRDefault="00BE4F60" w:rsidP="009301A9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304B4C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All operations and implementation manuals in place, based on national and Global Fund requirements and capacities required by PRs, endorsed by the MOH and 100% of staff trained.</w:t>
            </w:r>
          </w:p>
        </w:tc>
      </w:tr>
      <w:tr w:rsidR="00BE4F60" w:rsidRPr="00304B4C" w:rsidTr="009301A9">
        <w:trPr>
          <w:trHeight w:val="6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F60" w:rsidRPr="00304B4C" w:rsidRDefault="00BE4F60" w:rsidP="009301A9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304B4C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F60" w:rsidRPr="00304B4C" w:rsidRDefault="00BE4F60" w:rsidP="009301A9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304B4C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Joint programme planning and review meetings taken place every quarter with discussions held on managing all risks.</w:t>
            </w:r>
          </w:p>
        </w:tc>
      </w:tr>
      <w:tr w:rsidR="00BE4F60" w:rsidRPr="00304B4C" w:rsidTr="009301A9">
        <w:trPr>
          <w:trHeight w:val="6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F60" w:rsidRPr="00304B4C" w:rsidRDefault="00BE4F60" w:rsidP="009301A9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304B4C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F60" w:rsidRPr="00304B4C" w:rsidRDefault="00BE4F60" w:rsidP="009301A9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304B4C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Joint PU-DR development of the transitioning grants taken place for one year.</w:t>
            </w:r>
          </w:p>
        </w:tc>
      </w:tr>
      <w:tr w:rsidR="00BE4F60" w:rsidRPr="00304B4C" w:rsidTr="009301A9">
        <w:trPr>
          <w:trHeight w:val="66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F60" w:rsidRPr="00304B4C" w:rsidRDefault="00BE4F60" w:rsidP="009301A9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304B4C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F60" w:rsidRPr="00304B4C" w:rsidRDefault="00BE4F60" w:rsidP="009301A9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304B4C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Final implementation arrangements for HIV Prevention activities agreed and set up to ensure continuation of activities.</w:t>
            </w:r>
          </w:p>
        </w:tc>
      </w:tr>
      <w:tr w:rsidR="00BE4F60" w:rsidRPr="00304B4C" w:rsidTr="009301A9">
        <w:trPr>
          <w:trHeight w:val="6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F60" w:rsidRPr="00304B4C" w:rsidRDefault="00BE4F60" w:rsidP="009301A9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304B4C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F60" w:rsidRPr="00304B4C" w:rsidRDefault="00BE4F60" w:rsidP="009301A9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304B4C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Strengthened management competencies, to enable strong grant management and active oversight.</w:t>
            </w:r>
          </w:p>
        </w:tc>
      </w:tr>
      <w:tr w:rsidR="00BE4F60" w:rsidRPr="00304B4C" w:rsidTr="009301A9">
        <w:trPr>
          <w:trHeight w:val="96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F60" w:rsidRPr="00304B4C" w:rsidRDefault="00BE4F60" w:rsidP="009301A9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304B4C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4F60" w:rsidRPr="00304B4C" w:rsidRDefault="00BE4F60" w:rsidP="009301A9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304B4C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Capacity for forecasting and quantification is strengthened and institutionalized through the National Technical Working Group on quantification and procurement planning.</w:t>
            </w:r>
          </w:p>
        </w:tc>
      </w:tr>
      <w:tr w:rsidR="00BE4F60" w:rsidRPr="00304B4C" w:rsidTr="009301A9">
        <w:trPr>
          <w:trHeight w:val="6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F60" w:rsidRPr="00304B4C" w:rsidRDefault="00BE4F60" w:rsidP="009301A9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304B4C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4F60" w:rsidRPr="00304B4C" w:rsidRDefault="00BE4F60" w:rsidP="009301A9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National Supply Chain</w:t>
            </w:r>
            <w:r w:rsidRPr="00304B4C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has 100% of the required systems and staff in place to act as the lead on procurement and storage for the MOH.</w:t>
            </w:r>
          </w:p>
        </w:tc>
      </w:tr>
      <w:tr w:rsidR="00BE4F60" w:rsidRPr="00304B4C" w:rsidTr="009301A9">
        <w:trPr>
          <w:trHeight w:val="534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F60" w:rsidRPr="00304B4C" w:rsidRDefault="00BE4F60" w:rsidP="009301A9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304B4C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4F60" w:rsidRPr="00304B4C" w:rsidRDefault="00BE4F60" w:rsidP="009301A9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304B4C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Good Distribution Practices (GDP) systems, guidelines are in place, being utilized, with adequate supervision by trained staff at the national and at the peripheral level (including all 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districts</w:t>
            </w:r>
            <w:r w:rsidRPr="00304B4C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and facilities) and in compliance with the relevant SOPs, resulting in a significant decrease in the numbers of stock outs and/or overstocks.</w:t>
            </w:r>
          </w:p>
        </w:tc>
      </w:tr>
      <w:tr w:rsidR="00BE4F60" w:rsidRPr="00304B4C" w:rsidTr="009301A9">
        <w:trPr>
          <w:trHeight w:val="96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F60" w:rsidRPr="00304B4C" w:rsidRDefault="00BE4F60" w:rsidP="009301A9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304B4C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4F60" w:rsidRPr="00304B4C" w:rsidRDefault="00BE4F60" w:rsidP="009301A9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304B4C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Logistic Management Information System data is reliable from national level up to the last mile and can be used to inform distribution plans and quantification at central level.</w:t>
            </w:r>
          </w:p>
        </w:tc>
      </w:tr>
      <w:tr w:rsidR="00BE4F60" w:rsidRPr="00304B4C" w:rsidTr="009301A9">
        <w:trPr>
          <w:trHeight w:val="128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F60" w:rsidRPr="00304B4C" w:rsidRDefault="00BE4F60" w:rsidP="009301A9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304B4C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F60" w:rsidRPr="00304B4C" w:rsidRDefault="00BE4F60" w:rsidP="009301A9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304B4C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Financial systems are in place to support full programme implementation, with strong measurable controls and tracking tools; with the ability to generate accurate financial information, and able to support the increase in funds and transactions.</w:t>
            </w:r>
          </w:p>
        </w:tc>
      </w:tr>
      <w:tr w:rsidR="00BE4F60" w:rsidRPr="00304B4C" w:rsidTr="009301A9">
        <w:trPr>
          <w:trHeight w:val="6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F60" w:rsidRPr="00304B4C" w:rsidRDefault="00BE4F60" w:rsidP="009301A9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304B4C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F60" w:rsidRPr="00304B4C" w:rsidRDefault="00BE4F60" w:rsidP="009301A9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304B4C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100% of assets are documented and annual asset verification processes are in place.</w:t>
            </w:r>
          </w:p>
        </w:tc>
      </w:tr>
      <w:tr w:rsidR="00BE4F60" w:rsidRPr="00304B4C" w:rsidTr="009301A9">
        <w:trPr>
          <w:trHeight w:val="96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F60" w:rsidRPr="00304B4C" w:rsidRDefault="00BE4F60" w:rsidP="009301A9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304B4C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lastRenderedPageBreak/>
              <w:t>14</w:t>
            </w:r>
          </w:p>
        </w:tc>
        <w:tc>
          <w:tcPr>
            <w:tcW w:w="1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F60" w:rsidRPr="00304B4C" w:rsidRDefault="00BE4F60" w:rsidP="009301A9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304B4C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The national HMIS and DHIS2 system is fully configured for the TB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,</w:t>
            </w:r>
            <w:r w:rsidRPr="00304B4C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HIV 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and Malaria </w:t>
            </w:r>
            <w:r w:rsidRPr="00304B4C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grants being transitioned and has produced accurate programmatic data for one year.</w:t>
            </w:r>
          </w:p>
        </w:tc>
      </w:tr>
      <w:tr w:rsidR="00BE4F60" w:rsidRPr="00304B4C" w:rsidTr="009301A9">
        <w:trPr>
          <w:trHeight w:val="128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F60" w:rsidRPr="00304B4C" w:rsidRDefault="00BE4F60" w:rsidP="009301A9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304B4C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F60" w:rsidRPr="00304B4C" w:rsidRDefault="00BE4F60" w:rsidP="009301A9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304B4C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All MOH staff within the PMU, and other implementing directorates have the required M&amp;E skills to support the implementation, analysis and reporting on the GF grants.</w:t>
            </w:r>
          </w:p>
        </w:tc>
      </w:tr>
      <w:tr w:rsidR="00BE4F60" w:rsidRPr="00304B4C" w:rsidTr="009301A9">
        <w:trPr>
          <w:trHeight w:val="6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F60" w:rsidRPr="00304B4C" w:rsidRDefault="00BE4F60" w:rsidP="009301A9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304B4C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1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F60" w:rsidRPr="00304B4C" w:rsidRDefault="00BE4F60" w:rsidP="009301A9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304B4C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All costed disease National Strategic Plans, with supporting M&amp;E Plans are in place to support the next funding application in 2020.</w:t>
            </w:r>
          </w:p>
        </w:tc>
      </w:tr>
      <w:tr w:rsidR="00BE4F60" w:rsidRPr="00304B4C" w:rsidTr="009301A9">
        <w:trPr>
          <w:trHeight w:val="6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F60" w:rsidRPr="00304B4C" w:rsidRDefault="00BE4F60" w:rsidP="009301A9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304B4C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1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F60" w:rsidRPr="00304B4C" w:rsidRDefault="00BE4F60" w:rsidP="009301A9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304B4C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Joint transition planning and review meetings taken place every quarter reviewing progress and managing all transition risks.</w:t>
            </w:r>
          </w:p>
        </w:tc>
      </w:tr>
    </w:tbl>
    <w:p w:rsidR="00BE4F60" w:rsidRPr="00304B4C" w:rsidRDefault="00BE4F60" w:rsidP="00BE4F60">
      <w:pPr>
        <w:spacing w:line="30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:rsidR="00D72741" w:rsidRDefault="00BE4F60"/>
    <w:sectPr w:rsidR="00D727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F60"/>
    <w:rsid w:val="000D56CC"/>
    <w:rsid w:val="0028208B"/>
    <w:rsid w:val="00354C44"/>
    <w:rsid w:val="00AE3C6B"/>
    <w:rsid w:val="00BC32C1"/>
    <w:rsid w:val="00BE4F60"/>
    <w:rsid w:val="00DE36FE"/>
    <w:rsid w:val="00E74AA3"/>
    <w:rsid w:val="00F2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FEE70"/>
  <w15:chartTrackingRefBased/>
  <w15:docId w15:val="{2FBB4B44-1A17-441A-9F60-135C55661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4F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444</Words>
  <Characters>2536</Characters>
  <Application>Microsoft Office Word</Application>
  <DocSecurity>0</DocSecurity>
  <Lines>21</Lines>
  <Paragraphs>5</Paragraphs>
  <ScaleCrop>false</ScaleCrop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Nigel COULSON</dc:creator>
  <cp:keywords/>
  <dc:description/>
  <cp:lastModifiedBy>Nigel COULSON</cp:lastModifiedBy>
  <cp:revision>1</cp:revision>
  <dcterms:created xsi:type="dcterms:W3CDTF">2019-11-19T13:52:00Z</dcterms:created>
  <dcterms:modified xsi:type="dcterms:W3CDTF">2019-11-19T14:02:00Z</dcterms:modified>
</cp:coreProperties>
</file>